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452EE7" w14:textId="4155B314" w:rsidR="006D4D70" w:rsidRPr="003F2F99" w:rsidRDefault="006D4D70" w:rsidP="006D4D70">
      <w:pPr>
        <w:spacing w:after="0"/>
        <w:ind w:left="1985" w:hanging="1985"/>
        <w:rPr>
          <w:rFonts w:ascii="Arial" w:eastAsiaTheme="minorEastAsia" w:hAnsi="Arial" w:cs="Arial"/>
          <w:b/>
          <w:sz w:val="24"/>
          <w:szCs w:val="24"/>
          <w:lang w:eastAsia="zh-CN"/>
        </w:rPr>
      </w:pPr>
      <w:r w:rsidRPr="009F33B7">
        <w:rPr>
          <w:rFonts w:ascii="Arial" w:eastAsiaTheme="minorEastAsia" w:hAnsi="Arial" w:cs="Arial"/>
          <w:b/>
          <w:sz w:val="24"/>
          <w:szCs w:val="24"/>
          <w:lang w:eastAsia="zh-CN"/>
        </w:rPr>
        <w:t>3GPP TSG-RAN WG4 Meeting#</w:t>
      </w:r>
      <w:r w:rsidR="00942010">
        <w:rPr>
          <w:rFonts w:ascii="Arial" w:eastAsiaTheme="minorEastAsia" w:hAnsi="Arial" w:cs="Arial"/>
          <w:b/>
          <w:sz w:val="24"/>
          <w:szCs w:val="24"/>
          <w:lang w:eastAsia="zh-CN"/>
        </w:rPr>
        <w:t>11</w:t>
      </w:r>
      <w:r w:rsidR="00E30194">
        <w:rPr>
          <w:rFonts w:ascii="Arial" w:eastAsiaTheme="minorEastAsia" w:hAnsi="Arial" w:cs="Arial"/>
          <w:b/>
          <w:sz w:val="24"/>
          <w:szCs w:val="24"/>
          <w:lang w:eastAsia="zh-CN"/>
        </w:rPr>
        <w:t>2</w:t>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Pr>
          <w:rFonts w:ascii="Arial" w:eastAsiaTheme="minorEastAsia" w:hAnsi="Arial" w:cs="Arial"/>
          <w:b/>
          <w:sz w:val="24"/>
          <w:szCs w:val="24"/>
          <w:lang w:eastAsia="zh-CN"/>
        </w:rPr>
        <w:t xml:space="preserve">         </w:t>
      </w:r>
      <w:r>
        <w:rPr>
          <w:rFonts w:ascii="Arial" w:eastAsiaTheme="minorEastAsia" w:hAnsi="Arial" w:cs="Arial"/>
          <w:b/>
          <w:sz w:val="24"/>
          <w:szCs w:val="24"/>
          <w:lang w:eastAsia="zh-CN"/>
        </w:rPr>
        <w:tab/>
      </w:r>
      <w:r w:rsidR="002A1649">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Pr="00407D85">
        <w:rPr>
          <w:rFonts w:ascii="Arial" w:eastAsiaTheme="minorEastAsia" w:hAnsi="Arial" w:cs="Arial"/>
          <w:b/>
          <w:sz w:val="24"/>
          <w:szCs w:val="24"/>
          <w:lang w:eastAsia="zh-CN"/>
        </w:rPr>
        <w:t>R4-2</w:t>
      </w:r>
      <w:r>
        <w:rPr>
          <w:rFonts w:ascii="Arial" w:eastAsiaTheme="minorEastAsia" w:hAnsi="Arial" w:cs="Arial"/>
          <w:b/>
          <w:sz w:val="24"/>
          <w:szCs w:val="24"/>
          <w:lang w:eastAsia="zh-CN"/>
        </w:rPr>
        <w:t>4</w:t>
      </w:r>
      <w:r w:rsidR="00E30194">
        <w:rPr>
          <w:rFonts w:ascii="Arial" w:eastAsiaTheme="minorEastAsia" w:hAnsi="Arial" w:cs="Arial"/>
          <w:b/>
          <w:sz w:val="24"/>
          <w:szCs w:val="24"/>
          <w:lang w:eastAsia="zh-CN"/>
        </w:rPr>
        <w:t>1</w:t>
      </w:r>
      <w:r w:rsidR="00F66B0F">
        <w:rPr>
          <w:rFonts w:ascii="Arial" w:eastAsiaTheme="minorEastAsia" w:hAnsi="Arial" w:cs="Arial"/>
          <w:b/>
          <w:sz w:val="24"/>
          <w:szCs w:val="24"/>
          <w:lang w:eastAsia="zh-CN"/>
        </w:rPr>
        <w:t>1551</w:t>
      </w:r>
    </w:p>
    <w:p w14:paraId="049DFC34" w14:textId="17BD93BC" w:rsidR="00942010" w:rsidRDefault="00E30194" w:rsidP="00942010">
      <w:pPr>
        <w:tabs>
          <w:tab w:val="left" w:pos="1985"/>
        </w:tabs>
        <w:spacing w:after="0"/>
        <w:jc w:val="both"/>
        <w:rPr>
          <w:rFonts w:ascii="Arial" w:eastAsiaTheme="minorEastAsia" w:hAnsi="Arial" w:cs="Arial"/>
          <w:b/>
          <w:sz w:val="24"/>
          <w:szCs w:val="24"/>
          <w:lang w:eastAsia="zh-CN"/>
        </w:rPr>
      </w:pPr>
      <w:r>
        <w:rPr>
          <w:rFonts w:ascii="Arial" w:eastAsiaTheme="minorEastAsia" w:hAnsi="Arial" w:cs="Arial"/>
          <w:b/>
          <w:sz w:val="24"/>
          <w:szCs w:val="24"/>
          <w:lang w:eastAsia="zh-CN"/>
        </w:rPr>
        <w:t>Maastricht</w:t>
      </w:r>
      <w:r w:rsidR="00942010" w:rsidRPr="00596CBF">
        <w:rPr>
          <w:rFonts w:ascii="Arial" w:eastAsiaTheme="minorEastAsia" w:hAnsi="Arial" w:cs="Arial"/>
          <w:b/>
          <w:sz w:val="24"/>
          <w:szCs w:val="24"/>
          <w:lang w:eastAsia="zh-CN"/>
        </w:rPr>
        <w:t xml:space="preserve">, </w:t>
      </w:r>
      <w:r>
        <w:rPr>
          <w:rFonts w:ascii="Arial" w:eastAsiaTheme="minorEastAsia" w:hAnsi="Arial" w:cs="Arial"/>
          <w:b/>
          <w:sz w:val="24"/>
          <w:szCs w:val="24"/>
          <w:lang w:eastAsia="zh-CN"/>
        </w:rPr>
        <w:t>Netherland</w:t>
      </w:r>
      <w:r w:rsidR="00942010" w:rsidRPr="00596CBF">
        <w:rPr>
          <w:rFonts w:ascii="Arial" w:eastAsiaTheme="minorEastAsia" w:hAnsi="Arial" w:cs="Arial"/>
          <w:b/>
          <w:sz w:val="24"/>
          <w:szCs w:val="24"/>
          <w:lang w:eastAsia="zh-CN"/>
        </w:rPr>
        <w:t xml:space="preserve">, </w:t>
      </w:r>
      <w:r w:rsidR="003D7EB3">
        <w:rPr>
          <w:rFonts w:ascii="Arial" w:eastAsiaTheme="minorEastAsia" w:hAnsi="Arial" w:cs="Arial"/>
          <w:b/>
          <w:sz w:val="24"/>
          <w:szCs w:val="24"/>
          <w:lang w:eastAsia="zh-CN"/>
        </w:rPr>
        <w:t>19</w:t>
      </w:r>
      <w:r w:rsidR="00942010">
        <w:rPr>
          <w:rFonts w:ascii="Arial" w:eastAsiaTheme="minorEastAsia" w:hAnsi="Arial" w:cs="Arial"/>
          <w:b/>
          <w:sz w:val="24"/>
          <w:szCs w:val="24"/>
          <w:lang w:eastAsia="zh-CN"/>
        </w:rPr>
        <w:t xml:space="preserve"> </w:t>
      </w:r>
      <w:r w:rsidR="00942010" w:rsidRPr="00596CBF">
        <w:rPr>
          <w:rFonts w:ascii="Arial" w:eastAsiaTheme="minorEastAsia" w:hAnsi="Arial" w:cs="Arial"/>
          <w:b/>
          <w:sz w:val="24"/>
          <w:szCs w:val="24"/>
          <w:lang w:eastAsia="zh-CN"/>
        </w:rPr>
        <w:t xml:space="preserve">– </w:t>
      </w:r>
      <w:r w:rsidR="00942010">
        <w:rPr>
          <w:rFonts w:ascii="Arial" w:eastAsiaTheme="minorEastAsia" w:hAnsi="Arial" w:cs="Arial"/>
          <w:b/>
          <w:sz w:val="24"/>
          <w:szCs w:val="24"/>
          <w:lang w:eastAsia="zh-CN"/>
        </w:rPr>
        <w:t>2</w:t>
      </w:r>
      <w:r w:rsidR="003D7EB3">
        <w:rPr>
          <w:rFonts w:ascii="Arial" w:eastAsiaTheme="minorEastAsia" w:hAnsi="Arial" w:cs="Arial"/>
          <w:b/>
          <w:sz w:val="24"/>
          <w:szCs w:val="24"/>
          <w:lang w:eastAsia="zh-CN"/>
        </w:rPr>
        <w:t>3</w:t>
      </w:r>
      <w:r w:rsidR="00942010">
        <w:rPr>
          <w:rFonts w:ascii="Arial" w:eastAsiaTheme="minorEastAsia" w:hAnsi="Arial" w:cs="Arial"/>
          <w:b/>
          <w:sz w:val="24"/>
          <w:szCs w:val="24"/>
          <w:lang w:eastAsia="zh-CN"/>
        </w:rPr>
        <w:t xml:space="preserve"> </w:t>
      </w:r>
      <w:r w:rsidR="003D7EB3">
        <w:rPr>
          <w:rFonts w:ascii="Arial" w:eastAsiaTheme="minorEastAsia" w:hAnsi="Arial" w:cs="Arial"/>
          <w:b/>
          <w:sz w:val="24"/>
          <w:szCs w:val="24"/>
          <w:lang w:eastAsia="zh-CN"/>
        </w:rPr>
        <w:t>August</w:t>
      </w:r>
      <w:r w:rsidR="00942010" w:rsidRPr="00596CBF">
        <w:rPr>
          <w:rFonts w:ascii="Arial" w:eastAsiaTheme="minorEastAsia" w:hAnsi="Arial" w:cs="Arial"/>
          <w:b/>
          <w:sz w:val="24"/>
          <w:szCs w:val="24"/>
          <w:lang w:eastAsia="zh-CN"/>
        </w:rPr>
        <w:t xml:space="preserve"> 2024</w:t>
      </w:r>
    </w:p>
    <w:p w14:paraId="1E4A965B" w14:textId="77777777" w:rsidR="00821DAE" w:rsidRDefault="00821DAE" w:rsidP="00821DAE">
      <w:pPr>
        <w:tabs>
          <w:tab w:val="left" w:pos="1985"/>
        </w:tabs>
        <w:spacing w:after="0"/>
        <w:jc w:val="both"/>
        <w:rPr>
          <w:rFonts w:ascii="Arial" w:eastAsiaTheme="minorEastAsia" w:hAnsi="Arial" w:cs="Arial"/>
          <w:b/>
          <w:sz w:val="24"/>
          <w:szCs w:val="24"/>
          <w:lang w:eastAsia="zh-CN"/>
        </w:rPr>
      </w:pPr>
    </w:p>
    <w:p w14:paraId="3D6913F7" w14:textId="665E59AB" w:rsidR="003D6C94" w:rsidRDefault="00E61455" w:rsidP="0014219D">
      <w:pPr>
        <w:tabs>
          <w:tab w:val="left" w:pos="1985"/>
        </w:tabs>
        <w:spacing w:after="0"/>
        <w:jc w:val="both"/>
        <w:rPr>
          <w:rFonts w:ascii="Arial" w:hAnsi="Arial" w:cs="Arial"/>
          <w:bCs/>
          <w:sz w:val="22"/>
        </w:rPr>
      </w:pPr>
      <w:r w:rsidRPr="00AB3D40">
        <w:rPr>
          <w:rFonts w:ascii="Arial" w:hAnsi="Arial" w:cs="Arial"/>
          <w:b/>
          <w:sz w:val="22"/>
        </w:rPr>
        <w:t xml:space="preserve">Title: </w:t>
      </w:r>
      <w:r w:rsidRPr="00AB3D40">
        <w:rPr>
          <w:rFonts w:ascii="Arial" w:hAnsi="Arial" w:cs="Arial"/>
          <w:b/>
          <w:sz w:val="22"/>
        </w:rPr>
        <w:tab/>
      </w:r>
      <w:r w:rsidR="00EC5D8A" w:rsidRPr="00EC5D8A">
        <w:rPr>
          <w:rFonts w:ascii="Arial" w:hAnsi="Arial" w:cs="Arial"/>
          <w:bCs/>
          <w:sz w:val="22"/>
        </w:rPr>
        <w:t>On intra-band ULCA interference versus single ULCC</w:t>
      </w:r>
    </w:p>
    <w:p w14:paraId="195DA234" w14:textId="3B5B6CC8" w:rsidR="0014219D" w:rsidRPr="004D5547" w:rsidRDefault="0014219D" w:rsidP="0014219D">
      <w:pPr>
        <w:tabs>
          <w:tab w:val="left" w:pos="1985"/>
        </w:tabs>
        <w:spacing w:after="0"/>
        <w:jc w:val="both"/>
        <w:rPr>
          <w:rFonts w:ascii="Arial" w:hAnsi="Arial" w:cs="Arial"/>
          <w:bCs/>
          <w:sz w:val="22"/>
        </w:rPr>
      </w:pPr>
      <w:r w:rsidRPr="00AB3D40">
        <w:rPr>
          <w:rFonts w:ascii="Arial" w:hAnsi="Arial" w:cs="Arial"/>
          <w:b/>
          <w:sz w:val="22"/>
        </w:rPr>
        <w:t xml:space="preserve">Source: </w:t>
      </w:r>
      <w:r w:rsidRPr="00AB3D40">
        <w:rPr>
          <w:rFonts w:ascii="Arial" w:hAnsi="Arial" w:cs="Arial"/>
          <w:b/>
          <w:sz w:val="22"/>
        </w:rPr>
        <w:tab/>
      </w:r>
      <w:r w:rsidRPr="004D5547">
        <w:rPr>
          <w:rFonts w:ascii="Arial" w:hAnsi="Arial" w:cs="Arial"/>
          <w:bCs/>
          <w:sz w:val="22"/>
        </w:rPr>
        <w:t>Skyworks Solutions</w:t>
      </w:r>
      <w:r w:rsidR="005505C2">
        <w:rPr>
          <w:rFonts w:ascii="Arial" w:hAnsi="Arial" w:cs="Arial"/>
          <w:bCs/>
          <w:sz w:val="22"/>
        </w:rPr>
        <w:t>,</w:t>
      </w:r>
      <w:r w:rsidRPr="004D5547">
        <w:rPr>
          <w:rFonts w:ascii="Arial" w:hAnsi="Arial" w:cs="Arial"/>
          <w:bCs/>
          <w:sz w:val="22"/>
        </w:rPr>
        <w:t xml:space="preserve"> Inc.</w:t>
      </w:r>
    </w:p>
    <w:p w14:paraId="041E2905" w14:textId="4C5F811F" w:rsidR="00B4277E" w:rsidRDefault="00E61455" w:rsidP="00B4277E">
      <w:pPr>
        <w:tabs>
          <w:tab w:val="left" w:pos="1985"/>
        </w:tabs>
        <w:spacing w:after="0"/>
        <w:jc w:val="both"/>
        <w:rPr>
          <w:rFonts w:ascii="Arial" w:hAnsi="Arial" w:cs="Arial"/>
          <w:sz w:val="22"/>
          <w:lang w:eastAsia="zh-CN"/>
        </w:rPr>
      </w:pPr>
      <w:r w:rsidRPr="009303F1">
        <w:rPr>
          <w:rFonts w:ascii="Arial" w:hAnsi="Arial" w:cs="Arial"/>
          <w:b/>
          <w:sz w:val="22"/>
          <w:lang w:val="en-US"/>
        </w:rPr>
        <w:t>Agenda Item:</w:t>
      </w:r>
      <w:r w:rsidRPr="009303F1">
        <w:rPr>
          <w:rFonts w:ascii="Arial" w:hAnsi="Arial" w:cs="Arial"/>
          <w:b/>
          <w:sz w:val="22"/>
          <w:lang w:val="en-US"/>
        </w:rPr>
        <w:tab/>
      </w:r>
      <w:r w:rsidR="00EC5D8A" w:rsidRPr="00EC5D8A">
        <w:rPr>
          <w:rFonts w:ascii="Arial" w:hAnsi="Arial" w:cs="Arial"/>
          <w:sz w:val="22"/>
          <w:lang w:eastAsia="zh-CN"/>
        </w:rPr>
        <w:t>7.3.3</w:t>
      </w:r>
      <w:r w:rsidR="00EC5D8A" w:rsidRPr="00EC5D8A">
        <w:rPr>
          <w:rFonts w:ascii="Arial" w:hAnsi="Arial" w:cs="Arial"/>
          <w:sz w:val="22"/>
          <w:lang w:eastAsia="zh-CN"/>
        </w:rPr>
        <w:tab/>
        <w:t>UE RF requirements for NR inter-band CA/DC configurations including inter band CA for 2 DL with up to 2UL (NR_CADC_R19_2BDL_xBUL)</w:t>
      </w:r>
      <w:r w:rsidR="00EC5D8A" w:rsidRPr="00EC5D8A">
        <w:rPr>
          <w:rFonts w:ascii="Arial" w:hAnsi="Arial" w:cs="Arial"/>
          <w:sz w:val="22"/>
          <w:lang w:eastAsia="zh-CN"/>
        </w:rPr>
        <w:tab/>
        <w:t>[NR_CADC_SUL_R19-Core]</w:t>
      </w:r>
    </w:p>
    <w:p w14:paraId="5E188A5E" w14:textId="45C72689" w:rsidR="00E61455" w:rsidRPr="00B4277E" w:rsidRDefault="00E61455" w:rsidP="00B4277E">
      <w:pPr>
        <w:tabs>
          <w:tab w:val="left" w:pos="1985"/>
        </w:tabs>
        <w:jc w:val="both"/>
        <w:rPr>
          <w:rFonts w:ascii="Arial" w:hAnsi="Arial" w:cs="Arial"/>
          <w:sz w:val="22"/>
          <w:lang w:eastAsia="zh-CN"/>
        </w:rPr>
      </w:pPr>
      <w:r w:rsidRPr="00AB3D40">
        <w:rPr>
          <w:rFonts w:ascii="Arial" w:hAnsi="Arial" w:cs="Arial"/>
          <w:b/>
          <w:sz w:val="22"/>
        </w:rPr>
        <w:t>Document for:</w:t>
      </w:r>
      <w:r w:rsidRPr="00AB3D40">
        <w:rPr>
          <w:rFonts w:ascii="Arial" w:hAnsi="Arial" w:cs="Arial"/>
          <w:b/>
          <w:sz w:val="22"/>
        </w:rPr>
        <w:tab/>
      </w:r>
      <w:r w:rsidR="00280D59">
        <w:rPr>
          <w:rFonts w:ascii="Arial" w:hAnsi="Arial" w:cs="Arial"/>
          <w:sz w:val="22"/>
          <w:lang w:eastAsia="zh-CN"/>
        </w:rPr>
        <w:t>Approval</w:t>
      </w:r>
    </w:p>
    <w:p w14:paraId="6C9913EA" w14:textId="101B8BB1" w:rsidR="00F2750F" w:rsidRDefault="00F2750F" w:rsidP="006C0252">
      <w:pPr>
        <w:pStyle w:val="Heading1"/>
        <w:spacing w:after="120"/>
        <w:ind w:left="567" w:hanging="567"/>
      </w:pPr>
      <w:r>
        <w:t>1</w:t>
      </w:r>
      <w:r>
        <w:tab/>
        <w:t>Backgroun</w:t>
      </w:r>
      <w:r w:rsidR="004E4A54">
        <w:t>d</w:t>
      </w:r>
    </w:p>
    <w:p w14:paraId="1A5E5EB3" w14:textId="69C5BB02" w:rsidR="00F2750F" w:rsidRPr="00AB149D" w:rsidRDefault="00A37ACD" w:rsidP="00A37ACD">
      <w:pPr>
        <w:spacing w:after="0"/>
      </w:pPr>
      <w:bookmarkStart w:id="0" w:name="_Hlk149936446"/>
      <w:r>
        <w:t>In RAN4#11</w:t>
      </w:r>
      <w:r w:rsidR="00A70405">
        <w:t>0bis</w:t>
      </w:r>
      <w:r w:rsidR="00B4277E">
        <w:t xml:space="preserve">, </w:t>
      </w:r>
      <w:r w:rsidR="00CA7B22">
        <w:t>a way</w:t>
      </w:r>
      <w:bookmarkStart w:id="1" w:name="_Hlk165324434"/>
      <w:r w:rsidR="00B32481">
        <w:t xml:space="preserve"> forward</w:t>
      </w:r>
      <w:r w:rsidR="005504BE">
        <w:t xml:space="preserve"> [</w:t>
      </w:r>
      <w:r w:rsidR="00F25663">
        <w:t>2</w:t>
      </w:r>
      <w:r w:rsidR="005504BE">
        <w:t xml:space="preserve">] </w:t>
      </w:r>
      <w:r w:rsidR="00A70405">
        <w:t>was agreed</w:t>
      </w:r>
      <w:r w:rsidR="00DF0D44">
        <w:t xml:space="preserve"> upon</w:t>
      </w:r>
      <w:r w:rsidR="00A70405">
        <w:t xml:space="preserve"> to revisit the specification framework for inter-band/intra-band MSDs related to intra-band ULCA UL configuration established in R</w:t>
      </w:r>
      <w:r w:rsidR="00A344C1">
        <w:t>el-</w:t>
      </w:r>
      <w:r w:rsidR="00A70405">
        <w:t>17 and R</w:t>
      </w:r>
      <w:r w:rsidR="00A344C1">
        <w:t>el-</w:t>
      </w:r>
      <w:r w:rsidR="00A70405">
        <w:t>18 as a follow up of discussion paper [1]. After discussion in in RAN4#111 and based on the discussion paper [3]</w:t>
      </w:r>
      <w:r w:rsidR="00DF0D44">
        <w:t>,</w:t>
      </w:r>
      <w:r w:rsidR="00A70405">
        <w:t xml:space="preserve"> there was a consensus that this work would be better tackled within R</w:t>
      </w:r>
      <w:r w:rsidR="00A344C1">
        <w:t>el-</w:t>
      </w:r>
      <w:r w:rsidR="00A70405">
        <w:t>19 rather than changing things right at the end of R</w:t>
      </w:r>
      <w:r w:rsidR="00A344C1">
        <w:t>el-</w:t>
      </w:r>
      <w:r w:rsidR="00A70405">
        <w:t>18</w:t>
      </w:r>
      <w:r w:rsidR="00160334">
        <w:t>.</w:t>
      </w:r>
      <w:r w:rsidR="005504BE">
        <w:t xml:space="preserve"> In this contribution, </w:t>
      </w:r>
      <w:r w:rsidR="00F25663">
        <w:t>further developing from our contribution [</w:t>
      </w:r>
      <w:r w:rsidR="00A70405">
        <w:t>3</w:t>
      </w:r>
      <w:r w:rsidR="00F25663">
        <w:t>] in RAN</w:t>
      </w:r>
      <w:r w:rsidR="00E076BC">
        <w:t>4</w:t>
      </w:r>
      <w:r w:rsidR="00F25663">
        <w:t xml:space="preserve">#111, </w:t>
      </w:r>
      <w:r w:rsidR="005504BE">
        <w:t xml:space="preserve">we </w:t>
      </w:r>
      <w:r w:rsidR="00A70405">
        <w:t>provide technical background on intra-band ULCA related MSD and its comparison with single CC cases</w:t>
      </w:r>
      <w:r w:rsidR="005504BE">
        <w:t>.</w:t>
      </w:r>
    </w:p>
    <w:bookmarkEnd w:id="0"/>
    <w:bookmarkEnd w:id="1"/>
    <w:p w14:paraId="61F277A6" w14:textId="10235D64" w:rsidR="00343AA7" w:rsidRDefault="00B80DFB" w:rsidP="00446528">
      <w:pPr>
        <w:pStyle w:val="Heading1"/>
        <w:numPr>
          <w:ilvl w:val="0"/>
          <w:numId w:val="1"/>
        </w:numPr>
        <w:ind w:left="567" w:hanging="567"/>
      </w:pPr>
      <w:r>
        <w:t>Discussion</w:t>
      </w:r>
    </w:p>
    <w:p w14:paraId="19E09F2F" w14:textId="77777777" w:rsidR="00D22946" w:rsidRDefault="00D22946" w:rsidP="00D22946">
      <w:pPr>
        <w:pStyle w:val="Heading2"/>
        <w:rPr>
          <w:rFonts w:eastAsia="Arial"/>
          <w:lang w:eastAsia="zh-CN"/>
        </w:rPr>
      </w:pPr>
      <w:r>
        <w:rPr>
          <w:rFonts w:eastAsia="Arial"/>
          <w:lang w:eastAsia="zh-CN"/>
        </w:rPr>
        <w:t>2.1 Way forward</w:t>
      </w:r>
    </w:p>
    <w:p w14:paraId="59478020" w14:textId="77777777" w:rsidR="00D22946" w:rsidRPr="00D22946" w:rsidRDefault="00D22946" w:rsidP="00D22946">
      <w:pPr>
        <w:spacing w:after="0"/>
        <w:jc w:val="both"/>
        <w:rPr>
          <w:rFonts w:eastAsia="Arial"/>
          <w:lang w:eastAsia="zh-CN"/>
        </w:rPr>
      </w:pPr>
      <w:r w:rsidRPr="00D22946">
        <w:rPr>
          <w:rFonts w:eastAsia="Arial"/>
          <w:lang w:eastAsia="zh-CN"/>
        </w:rPr>
        <w:t>As a follow up from the discussion in [1], the way forward [2] proposed a few options copied here for the handling of the MSD test points for inter-band DL CA with UL configurations including contiguous intra-band ULCA.</w:t>
      </w:r>
    </w:p>
    <w:p w14:paraId="270B325B" w14:textId="77777777" w:rsidR="00D22946" w:rsidRDefault="00D22946" w:rsidP="00D22946">
      <w:pPr>
        <w:spacing w:after="0"/>
        <w:jc w:val="both"/>
        <w:rPr>
          <w:rFonts w:ascii="Arial" w:hAnsi="Arial" w:cs="Arial"/>
          <w:b/>
          <w:bCs/>
          <w:i/>
          <w:iCs/>
        </w:rPr>
      </w:pPr>
    </w:p>
    <w:p w14:paraId="739781A8" w14:textId="77777777" w:rsidR="00D22946" w:rsidRPr="00D22946" w:rsidRDefault="00D22946" w:rsidP="00D22946">
      <w:pPr>
        <w:spacing w:after="0"/>
        <w:jc w:val="both"/>
        <w:rPr>
          <w:rFonts w:eastAsia="Arial"/>
          <w:i/>
          <w:iCs/>
          <w:lang w:eastAsia="zh-CN"/>
        </w:rPr>
      </w:pPr>
      <w:r w:rsidRPr="00D22946">
        <w:rPr>
          <w:rFonts w:eastAsia="Arial"/>
          <w:i/>
          <w:iCs/>
          <w:lang w:eastAsia="zh-CN"/>
        </w:rPr>
        <w:t xml:space="preserve">Proposal 1: Companies are encouraged to consider the following options for handling the MSD requirements resulting from intra-band contiguous UL CA configured with non-contiguous allocations:   </w:t>
      </w:r>
    </w:p>
    <w:p w14:paraId="1655F781" w14:textId="77777777" w:rsidR="00D22946" w:rsidRPr="00D22946" w:rsidRDefault="00D22946" w:rsidP="00D22946">
      <w:pPr>
        <w:spacing w:after="0"/>
        <w:ind w:left="284"/>
        <w:jc w:val="both"/>
        <w:rPr>
          <w:rFonts w:eastAsia="Arial"/>
          <w:i/>
          <w:iCs/>
          <w:lang w:eastAsia="zh-CN"/>
        </w:rPr>
      </w:pPr>
      <w:r w:rsidRPr="00D22946">
        <w:rPr>
          <w:rFonts w:eastAsia="Arial"/>
          <w:i/>
          <w:iCs/>
          <w:lang w:eastAsia="zh-CN"/>
        </w:rPr>
        <w:t xml:space="preserve">Option 1: No change from TR 38.862 guidelines </w:t>
      </w:r>
    </w:p>
    <w:p w14:paraId="7B04D1DF" w14:textId="77777777" w:rsidR="00D22946" w:rsidRPr="00D22946" w:rsidRDefault="00D22946" w:rsidP="00D22946">
      <w:pPr>
        <w:spacing w:after="0"/>
        <w:ind w:left="288"/>
        <w:jc w:val="both"/>
        <w:rPr>
          <w:rFonts w:eastAsia="Arial"/>
          <w:i/>
          <w:iCs/>
          <w:lang w:eastAsia="zh-CN"/>
        </w:rPr>
      </w:pPr>
      <w:r w:rsidRPr="00D22946">
        <w:rPr>
          <w:rFonts w:eastAsia="Arial"/>
          <w:i/>
          <w:iCs/>
          <w:lang w:eastAsia="zh-CN"/>
        </w:rPr>
        <w:t>Option 2: Do not consider all MSD requirements resulting from intra-band contiguous UL CA configured with non-contiguous allocations.</w:t>
      </w:r>
    </w:p>
    <w:p w14:paraId="02F45931" w14:textId="77777777" w:rsidR="00D22946" w:rsidRPr="00D22946" w:rsidRDefault="00D22946" w:rsidP="00D22946">
      <w:pPr>
        <w:spacing w:after="120"/>
        <w:ind w:left="284"/>
        <w:jc w:val="both"/>
        <w:rPr>
          <w:rFonts w:eastAsia="Arial"/>
          <w:i/>
          <w:iCs/>
          <w:lang w:eastAsia="zh-CN"/>
        </w:rPr>
      </w:pPr>
      <w:r w:rsidRPr="00D22946">
        <w:rPr>
          <w:rFonts w:eastAsia="Arial"/>
          <w:i/>
          <w:iCs/>
          <w:lang w:eastAsia="zh-CN"/>
        </w:rPr>
        <w:t>Option 3: Do not consider only the MSD requirements resulting from intra-band contiguous UL CA configured with 1RB+1RB allocations.</w:t>
      </w:r>
    </w:p>
    <w:p w14:paraId="730E65F8" w14:textId="77777777" w:rsidR="00D22946" w:rsidRPr="00D22946" w:rsidRDefault="00D22946" w:rsidP="00D22946">
      <w:pPr>
        <w:spacing w:after="0"/>
        <w:jc w:val="both"/>
        <w:rPr>
          <w:rFonts w:eastAsia="Arial"/>
          <w:i/>
          <w:iCs/>
          <w:lang w:eastAsia="zh-CN"/>
        </w:rPr>
      </w:pPr>
      <w:r w:rsidRPr="00D22946">
        <w:rPr>
          <w:rFonts w:eastAsia="Arial"/>
          <w:i/>
          <w:iCs/>
          <w:lang w:eastAsia="zh-CN"/>
        </w:rPr>
        <w:t xml:space="preserve">Proposal 2: If Option 2 or Option 3 in Proposal 1 would be considered, which release to start taking effect?   </w:t>
      </w:r>
    </w:p>
    <w:p w14:paraId="0A6ACBA4" w14:textId="77777777" w:rsidR="00D22946" w:rsidRPr="00D22946" w:rsidRDefault="00D22946" w:rsidP="00D22946">
      <w:pPr>
        <w:spacing w:after="0"/>
        <w:ind w:left="284"/>
        <w:jc w:val="both"/>
        <w:rPr>
          <w:rFonts w:eastAsia="Arial"/>
          <w:i/>
          <w:iCs/>
          <w:lang w:eastAsia="zh-CN"/>
        </w:rPr>
      </w:pPr>
      <w:r w:rsidRPr="00D22946">
        <w:rPr>
          <w:rFonts w:eastAsia="Arial"/>
          <w:i/>
          <w:iCs/>
          <w:lang w:eastAsia="zh-CN"/>
        </w:rPr>
        <w:t xml:space="preserve">Option 1: From earliest release where such MSD requirements have been specified. </w:t>
      </w:r>
    </w:p>
    <w:p w14:paraId="3E131664" w14:textId="77777777" w:rsidR="00D22946" w:rsidRPr="00D22946" w:rsidRDefault="00D22946" w:rsidP="00D22946">
      <w:pPr>
        <w:spacing w:after="0"/>
        <w:ind w:left="288"/>
        <w:jc w:val="both"/>
        <w:rPr>
          <w:rFonts w:eastAsia="Arial"/>
          <w:i/>
          <w:iCs/>
          <w:lang w:eastAsia="zh-CN"/>
        </w:rPr>
      </w:pPr>
      <w:r w:rsidRPr="00D22946">
        <w:rPr>
          <w:rFonts w:eastAsia="Arial"/>
          <w:i/>
          <w:iCs/>
          <w:lang w:eastAsia="zh-CN"/>
        </w:rPr>
        <w:t>Option 2: Rel-18</w:t>
      </w:r>
    </w:p>
    <w:p w14:paraId="7D4EBC90" w14:textId="77777777" w:rsidR="00D22946" w:rsidRPr="00D22946" w:rsidRDefault="00D22946" w:rsidP="00D22946">
      <w:pPr>
        <w:spacing w:after="120"/>
        <w:ind w:left="284"/>
        <w:jc w:val="both"/>
        <w:rPr>
          <w:rFonts w:eastAsia="Arial"/>
          <w:i/>
          <w:iCs/>
          <w:lang w:eastAsia="zh-CN"/>
        </w:rPr>
      </w:pPr>
      <w:r w:rsidRPr="00D22946">
        <w:rPr>
          <w:rFonts w:eastAsia="Arial"/>
          <w:i/>
          <w:iCs/>
          <w:lang w:eastAsia="zh-CN"/>
        </w:rPr>
        <w:t>Option 3: Rel-19</w:t>
      </w:r>
    </w:p>
    <w:p w14:paraId="50A4D008" w14:textId="77777777" w:rsidR="00D22946" w:rsidRPr="00D22946" w:rsidRDefault="00D22946" w:rsidP="00D22946">
      <w:pPr>
        <w:spacing w:after="0"/>
        <w:jc w:val="both"/>
        <w:rPr>
          <w:rFonts w:eastAsia="Arial"/>
          <w:i/>
          <w:iCs/>
          <w:lang w:eastAsia="zh-CN"/>
        </w:rPr>
      </w:pPr>
      <w:r w:rsidRPr="00D22946">
        <w:rPr>
          <w:rFonts w:eastAsia="Arial"/>
          <w:i/>
          <w:iCs/>
          <w:lang w:eastAsia="zh-CN"/>
        </w:rPr>
        <w:t xml:space="preserve">Proposal 3: Is there a need to introduce cross-band MSD requirements resulting from intra-band contiguous UL CA configured with fully allocated maximum aggregated BW?   </w:t>
      </w:r>
    </w:p>
    <w:p w14:paraId="5DCD9626" w14:textId="77777777" w:rsidR="00D22946" w:rsidRPr="00D22946" w:rsidRDefault="00D22946" w:rsidP="00D22946">
      <w:pPr>
        <w:spacing w:after="0"/>
        <w:ind w:left="284"/>
        <w:jc w:val="both"/>
        <w:rPr>
          <w:rFonts w:eastAsia="Arial"/>
          <w:i/>
          <w:iCs/>
          <w:lang w:eastAsia="zh-CN"/>
        </w:rPr>
      </w:pPr>
      <w:r w:rsidRPr="00D22946">
        <w:rPr>
          <w:rFonts w:eastAsia="Arial"/>
          <w:i/>
          <w:iCs/>
          <w:lang w:eastAsia="zh-CN"/>
        </w:rPr>
        <w:t xml:space="preserve">Option 1: Yes </w:t>
      </w:r>
    </w:p>
    <w:p w14:paraId="33062871" w14:textId="77777777" w:rsidR="00D22946" w:rsidRPr="00D22946" w:rsidRDefault="00D22946" w:rsidP="00D22946">
      <w:pPr>
        <w:spacing w:after="0"/>
        <w:ind w:left="288"/>
        <w:jc w:val="both"/>
        <w:rPr>
          <w:rFonts w:eastAsia="Arial"/>
          <w:i/>
          <w:iCs/>
          <w:lang w:eastAsia="zh-CN"/>
        </w:rPr>
      </w:pPr>
      <w:r w:rsidRPr="00D22946">
        <w:rPr>
          <w:rFonts w:eastAsia="Arial"/>
          <w:i/>
          <w:iCs/>
          <w:lang w:eastAsia="zh-CN"/>
        </w:rPr>
        <w:t>Option 2: No</w:t>
      </w:r>
    </w:p>
    <w:p w14:paraId="0E4A3B77" w14:textId="77777777" w:rsidR="00D22946" w:rsidRDefault="00D22946" w:rsidP="00D22946">
      <w:pPr>
        <w:spacing w:after="0"/>
        <w:ind w:left="288"/>
        <w:jc w:val="both"/>
        <w:rPr>
          <w:rStyle w:val="h4Char1"/>
          <w:rFonts w:eastAsia="Times New Roman"/>
          <w:sz w:val="20"/>
          <w:lang w:eastAsia="en-GB"/>
        </w:rPr>
      </w:pPr>
    </w:p>
    <w:p w14:paraId="21ACC40A" w14:textId="27F85EF9" w:rsidR="00D22946" w:rsidRDefault="00A344C1" w:rsidP="00D22946">
      <w:pPr>
        <w:spacing w:after="0"/>
        <w:jc w:val="both"/>
        <w:rPr>
          <w:rFonts w:eastAsia="Arial"/>
          <w:lang w:eastAsia="zh-CN"/>
        </w:rPr>
      </w:pPr>
      <w:r>
        <w:rPr>
          <w:rFonts w:eastAsia="Arial"/>
          <w:lang w:eastAsia="zh-CN"/>
        </w:rPr>
        <w:t>After discussion in RAN4#11 based on [3]</w:t>
      </w:r>
      <w:r w:rsidR="00DF0D44">
        <w:rPr>
          <w:rFonts w:eastAsia="Arial"/>
          <w:lang w:eastAsia="zh-CN"/>
        </w:rPr>
        <w:t>,</w:t>
      </w:r>
      <w:r>
        <w:rPr>
          <w:rFonts w:eastAsia="Arial"/>
          <w:lang w:eastAsia="zh-CN"/>
        </w:rPr>
        <w:t xml:space="preserve"> there was consensus that these aspects would be better tackled in Rel-19. </w:t>
      </w:r>
      <w:r w:rsidR="00304460">
        <w:rPr>
          <w:rFonts w:eastAsia="Arial"/>
          <w:lang w:eastAsia="zh-CN"/>
        </w:rPr>
        <w:t>In this contribution, we provide further technical background compared to [1] to allow a better assessment and engage the work for Rel-19. Especially, intra-band ULCA related interference is compared with single CC case.</w:t>
      </w:r>
    </w:p>
    <w:p w14:paraId="71859C1A" w14:textId="77777777" w:rsidR="00D22946" w:rsidRDefault="00D22946" w:rsidP="00D22946">
      <w:pPr>
        <w:pStyle w:val="Heading2"/>
        <w:rPr>
          <w:rFonts w:eastAsia="Arial"/>
          <w:lang w:eastAsia="zh-CN"/>
        </w:rPr>
      </w:pPr>
      <w:r>
        <w:rPr>
          <w:rFonts w:eastAsia="Arial"/>
          <w:lang w:eastAsia="zh-CN"/>
        </w:rPr>
        <w:t>2.2 Measurements method</w:t>
      </w:r>
    </w:p>
    <w:p w14:paraId="1A450D1E" w14:textId="65523D26" w:rsidR="00A344C1" w:rsidRPr="00A344C1" w:rsidRDefault="00D22946" w:rsidP="00D22946">
      <w:pPr>
        <w:spacing w:after="0"/>
        <w:rPr>
          <w:rFonts w:eastAsia="Arial"/>
          <w:lang w:eastAsia="zh-CN"/>
        </w:rPr>
      </w:pPr>
      <w:r w:rsidRPr="00A344C1">
        <w:rPr>
          <w:rFonts w:eastAsia="Arial"/>
          <w:lang w:eastAsia="zh-CN"/>
        </w:rPr>
        <w:t xml:space="preserve">In order to provide an understanding of the practical choice of a 2CC UL allocation that allows easy derivation of the MSD and the IMD orders to be considered, we performed a number of measurements </w:t>
      </w:r>
      <w:r w:rsidR="00DF0D44">
        <w:rPr>
          <w:rFonts w:eastAsia="Arial"/>
          <w:lang w:eastAsia="zh-CN"/>
        </w:rPr>
        <w:t>including</w:t>
      </w:r>
      <w:r w:rsidR="00A344C1" w:rsidRPr="00A344C1">
        <w:rPr>
          <w:rFonts w:eastAsia="Arial"/>
          <w:lang w:eastAsia="zh-CN"/>
        </w:rPr>
        <w:t>:</w:t>
      </w:r>
    </w:p>
    <w:p w14:paraId="2107D1A2" w14:textId="28C09293" w:rsidR="00A344C1" w:rsidRDefault="00A344C1">
      <w:pPr>
        <w:pStyle w:val="ListParagraph"/>
        <w:numPr>
          <w:ilvl w:val="0"/>
          <w:numId w:val="25"/>
        </w:numPr>
        <w:spacing w:after="0"/>
        <w:ind w:firstLineChars="0"/>
        <w:rPr>
          <w:rFonts w:eastAsia="Arial"/>
          <w:lang w:eastAsia="zh-CN"/>
        </w:rPr>
      </w:pPr>
      <w:r>
        <w:rPr>
          <w:rFonts w:eastAsia="Arial"/>
          <w:lang w:eastAsia="zh-CN"/>
        </w:rPr>
        <w:t>T</w:t>
      </w:r>
      <w:r w:rsidR="00D22946" w:rsidRPr="00A344C1">
        <w:rPr>
          <w:rFonts w:eastAsia="Arial"/>
          <w:lang w:eastAsia="zh-CN"/>
        </w:rPr>
        <w:t>wo 80MHz contiguous CC at 3.5GHz</w:t>
      </w:r>
      <w:r w:rsidR="00304460">
        <w:rPr>
          <w:rFonts w:eastAsia="Arial"/>
          <w:lang w:eastAsia="zh-CN"/>
        </w:rPr>
        <w:t xml:space="preserve"> for intra-band ULCA</w:t>
      </w:r>
    </w:p>
    <w:p w14:paraId="665A19C3" w14:textId="4256476C" w:rsidR="00A344C1" w:rsidRPr="00A344C1" w:rsidRDefault="00A344C1">
      <w:pPr>
        <w:pStyle w:val="ListParagraph"/>
        <w:numPr>
          <w:ilvl w:val="0"/>
          <w:numId w:val="25"/>
        </w:numPr>
        <w:spacing w:after="0"/>
        <w:ind w:firstLineChars="0"/>
        <w:rPr>
          <w:rFonts w:eastAsia="Arial"/>
          <w:lang w:eastAsia="zh-CN"/>
        </w:rPr>
      </w:pPr>
      <w:r>
        <w:rPr>
          <w:rFonts w:eastAsia="Arial"/>
          <w:lang w:eastAsia="zh-CN"/>
        </w:rPr>
        <w:t>A single 80MHz CC at 3.44GHz</w:t>
      </w:r>
    </w:p>
    <w:p w14:paraId="07792E15" w14:textId="56A07AAA" w:rsidR="00A344C1" w:rsidRPr="00A344C1" w:rsidRDefault="00A344C1">
      <w:pPr>
        <w:pStyle w:val="ListParagraph"/>
        <w:numPr>
          <w:ilvl w:val="0"/>
          <w:numId w:val="25"/>
        </w:numPr>
        <w:spacing w:after="0"/>
        <w:ind w:firstLineChars="0"/>
        <w:rPr>
          <w:rFonts w:eastAsia="Arial"/>
          <w:lang w:eastAsia="zh-CN"/>
        </w:rPr>
      </w:pPr>
      <w:r>
        <w:rPr>
          <w:rFonts w:eastAsia="Arial"/>
          <w:lang w:eastAsia="zh-CN"/>
        </w:rPr>
        <w:t>T</w:t>
      </w:r>
      <w:r w:rsidR="00D22946" w:rsidRPr="00A344C1">
        <w:rPr>
          <w:rFonts w:eastAsia="Arial"/>
          <w:lang w:eastAsia="zh-CN"/>
        </w:rPr>
        <w:t>he</w:t>
      </w:r>
      <w:r>
        <w:rPr>
          <w:rFonts w:eastAsia="Arial"/>
          <w:lang w:eastAsia="zh-CN"/>
        </w:rPr>
        <w:t xml:space="preserve"> carrier</w:t>
      </w:r>
      <w:r w:rsidR="00D22946" w:rsidRPr="00A344C1">
        <w:rPr>
          <w:rFonts w:eastAsia="Arial"/>
          <w:lang w:eastAsia="zh-CN"/>
        </w:rPr>
        <w:t xml:space="preserve"> frequenc</w:t>
      </w:r>
      <w:r>
        <w:rPr>
          <w:rFonts w:eastAsia="Arial"/>
          <w:lang w:eastAsia="zh-CN"/>
        </w:rPr>
        <w:t>ies,</w:t>
      </w:r>
      <w:r w:rsidR="00D22946" w:rsidRPr="00A344C1">
        <w:rPr>
          <w:rFonts w:eastAsia="Arial"/>
          <w:lang w:eastAsia="zh-CN"/>
        </w:rPr>
        <w:t xml:space="preserve"> </w:t>
      </w:r>
      <w:r w:rsidR="00304460">
        <w:rPr>
          <w:rFonts w:eastAsia="Arial"/>
          <w:lang w:eastAsia="zh-CN"/>
        </w:rPr>
        <w:t xml:space="preserve">intra-band </w:t>
      </w:r>
      <w:r>
        <w:rPr>
          <w:rFonts w:eastAsia="Arial"/>
          <w:lang w:eastAsia="zh-CN"/>
        </w:rPr>
        <w:t xml:space="preserve">ULCA </w:t>
      </w:r>
      <w:r w:rsidR="00D22946" w:rsidRPr="00A344C1">
        <w:rPr>
          <w:rFonts w:eastAsia="Arial"/>
          <w:lang w:eastAsia="zh-CN"/>
        </w:rPr>
        <w:t>aggregated BW</w:t>
      </w:r>
      <w:r>
        <w:rPr>
          <w:rFonts w:eastAsia="Arial"/>
          <w:lang w:eastAsia="zh-CN"/>
        </w:rPr>
        <w:t xml:space="preserve"> and single CC CBW</w:t>
      </w:r>
      <w:r w:rsidR="00D22946" w:rsidRPr="00A344C1">
        <w:rPr>
          <w:rFonts w:eastAsia="Arial"/>
          <w:lang w:eastAsia="zh-CN"/>
        </w:rPr>
        <w:t xml:space="preserve"> are chosen based on availability of a 200MHz notch filter at 3.5GHz to enable the measurement of IMD spectrums with very large dynamic range). </w:t>
      </w:r>
    </w:p>
    <w:p w14:paraId="788E25F4" w14:textId="47F04AEA" w:rsidR="00DF0D44" w:rsidRPr="00A344C1" w:rsidRDefault="00DF0D44" w:rsidP="00DF0D44">
      <w:pPr>
        <w:pStyle w:val="ListParagraph"/>
        <w:numPr>
          <w:ilvl w:val="0"/>
          <w:numId w:val="25"/>
        </w:numPr>
        <w:overflowPunct/>
        <w:autoSpaceDE/>
        <w:autoSpaceDN/>
        <w:adjustRightInd/>
        <w:spacing w:after="0" w:line="256" w:lineRule="auto"/>
        <w:ind w:firstLineChars="0"/>
        <w:textAlignment w:val="auto"/>
        <w:rPr>
          <w:rFonts w:eastAsia="Arial"/>
          <w:lang w:eastAsia="zh-CN"/>
        </w:rPr>
      </w:pPr>
      <w:r>
        <w:rPr>
          <w:rFonts w:eastAsia="Arial"/>
          <w:lang w:eastAsia="zh-CN"/>
        </w:rPr>
        <w:t>All waveforms are DFT-s-OFDM QPSK which is the basis for REFSENS-related requirements</w:t>
      </w:r>
    </w:p>
    <w:p w14:paraId="6200A656" w14:textId="77777777" w:rsidR="00DF0D44" w:rsidRDefault="00D22946" w:rsidP="00DF0D44">
      <w:pPr>
        <w:pStyle w:val="ListParagraph"/>
        <w:numPr>
          <w:ilvl w:val="0"/>
          <w:numId w:val="25"/>
        </w:numPr>
        <w:spacing w:after="0"/>
        <w:ind w:firstLineChars="0"/>
        <w:rPr>
          <w:rFonts w:eastAsia="Arial"/>
          <w:lang w:eastAsia="zh-CN"/>
        </w:rPr>
      </w:pPr>
      <w:r w:rsidRPr="00A344C1">
        <w:rPr>
          <w:rFonts w:eastAsia="Arial"/>
          <w:lang w:eastAsia="zh-CN"/>
        </w:rPr>
        <w:t xml:space="preserve">A single PC3 PA to is used </w:t>
      </w:r>
      <w:r w:rsidR="00A344C1">
        <w:rPr>
          <w:rFonts w:eastAsia="Arial"/>
          <w:lang w:eastAsia="zh-CN"/>
        </w:rPr>
        <w:t xml:space="preserve">to </w:t>
      </w:r>
      <w:r w:rsidRPr="00A344C1">
        <w:rPr>
          <w:rFonts w:eastAsia="Arial"/>
          <w:lang w:eastAsia="zh-CN"/>
        </w:rPr>
        <w:t>transmit both CCs</w:t>
      </w:r>
      <w:r w:rsidR="00A344C1">
        <w:rPr>
          <w:rFonts w:eastAsia="Arial"/>
          <w:lang w:eastAsia="zh-CN"/>
        </w:rPr>
        <w:t xml:space="preserve"> for ULCA or a single CC</w:t>
      </w:r>
      <w:r w:rsidRPr="00A344C1">
        <w:rPr>
          <w:rFonts w:eastAsia="Arial"/>
          <w:lang w:eastAsia="zh-CN"/>
        </w:rPr>
        <w:t>.</w:t>
      </w:r>
      <w:r w:rsidR="00DF0D44" w:rsidRPr="00DF0D44">
        <w:rPr>
          <w:rFonts w:eastAsia="Arial"/>
          <w:lang w:eastAsia="zh-CN"/>
        </w:rPr>
        <w:t xml:space="preserve"> </w:t>
      </w:r>
    </w:p>
    <w:p w14:paraId="26BBB2C3" w14:textId="41E0A402" w:rsidR="00DF0D44" w:rsidRPr="00A344C1" w:rsidRDefault="00DF0D44" w:rsidP="00DF0D44">
      <w:pPr>
        <w:pStyle w:val="ListParagraph"/>
        <w:numPr>
          <w:ilvl w:val="0"/>
          <w:numId w:val="25"/>
        </w:numPr>
        <w:spacing w:after="0"/>
        <w:ind w:firstLineChars="0"/>
        <w:rPr>
          <w:rFonts w:eastAsia="Arial"/>
          <w:lang w:eastAsia="zh-CN"/>
        </w:rPr>
      </w:pPr>
      <w:r w:rsidRPr="00A344C1">
        <w:rPr>
          <w:rFonts w:eastAsia="Arial"/>
          <w:lang w:eastAsia="zh-CN"/>
        </w:rPr>
        <w:t xml:space="preserve">The following allocation </w:t>
      </w:r>
      <w:r>
        <w:rPr>
          <w:rFonts w:eastAsia="Arial"/>
          <w:lang w:eastAsia="zh-CN"/>
        </w:rPr>
        <w:t xml:space="preserve">and PA </w:t>
      </w:r>
      <w:r w:rsidRPr="00A344C1">
        <w:rPr>
          <w:rFonts w:eastAsia="Arial"/>
          <w:lang w:eastAsia="zh-CN"/>
        </w:rPr>
        <w:t>parameters are used for the measurement:</w:t>
      </w:r>
    </w:p>
    <w:p w14:paraId="270AD6D8" w14:textId="77777777" w:rsidR="00D22946" w:rsidRPr="00A344C1" w:rsidRDefault="00D22946">
      <w:pPr>
        <w:pStyle w:val="ListParagraph"/>
        <w:numPr>
          <w:ilvl w:val="1"/>
          <w:numId w:val="25"/>
        </w:numPr>
        <w:overflowPunct/>
        <w:autoSpaceDE/>
        <w:autoSpaceDN/>
        <w:adjustRightInd/>
        <w:spacing w:after="0" w:line="256" w:lineRule="auto"/>
        <w:ind w:firstLineChars="0"/>
        <w:textAlignment w:val="auto"/>
        <w:rPr>
          <w:rFonts w:eastAsia="Arial"/>
          <w:lang w:eastAsia="zh-CN"/>
        </w:rPr>
      </w:pPr>
      <w:r w:rsidRPr="00A344C1">
        <w:rPr>
          <w:rFonts w:eastAsia="Arial"/>
          <w:lang w:eastAsia="zh-CN"/>
        </w:rPr>
        <w:t>Assuming 4dB post PA losses</w:t>
      </w:r>
    </w:p>
    <w:p w14:paraId="65E0E9DE" w14:textId="749BC47D" w:rsidR="00D22946" w:rsidRDefault="00D22946">
      <w:pPr>
        <w:pStyle w:val="ListParagraph"/>
        <w:numPr>
          <w:ilvl w:val="1"/>
          <w:numId w:val="25"/>
        </w:numPr>
        <w:overflowPunct/>
        <w:autoSpaceDE/>
        <w:autoSpaceDN/>
        <w:adjustRightInd/>
        <w:spacing w:after="0" w:line="256" w:lineRule="auto"/>
        <w:ind w:firstLineChars="0"/>
        <w:textAlignment w:val="auto"/>
        <w:rPr>
          <w:rFonts w:eastAsia="Arial"/>
          <w:lang w:eastAsia="zh-CN"/>
        </w:rPr>
      </w:pPr>
      <w:r w:rsidRPr="00A344C1">
        <w:rPr>
          <w:rFonts w:eastAsia="Arial"/>
          <w:lang w:eastAsia="zh-CN"/>
        </w:rPr>
        <w:t>Calibrated at 1dB MPR for 30dB ACLR using a 20MHz DFT-s-OFDM 100RB0 waveform.</w:t>
      </w:r>
    </w:p>
    <w:p w14:paraId="16CDEAAC" w14:textId="1186B3BA" w:rsidR="00A344C1" w:rsidRDefault="00A344C1">
      <w:pPr>
        <w:pStyle w:val="ListParagraph"/>
        <w:numPr>
          <w:ilvl w:val="1"/>
          <w:numId w:val="25"/>
        </w:numPr>
        <w:overflowPunct/>
        <w:autoSpaceDE/>
        <w:autoSpaceDN/>
        <w:adjustRightInd/>
        <w:spacing w:after="0" w:line="256" w:lineRule="auto"/>
        <w:ind w:firstLineChars="0"/>
        <w:textAlignment w:val="auto"/>
        <w:rPr>
          <w:rFonts w:eastAsia="Arial"/>
          <w:lang w:eastAsia="zh-CN"/>
        </w:rPr>
      </w:pPr>
      <w:r>
        <w:rPr>
          <w:rFonts w:eastAsia="Arial"/>
          <w:lang w:eastAsia="zh-CN"/>
        </w:rPr>
        <w:t xml:space="preserve">No image for </w:t>
      </w:r>
      <w:r w:rsidR="00304460">
        <w:rPr>
          <w:rFonts w:eastAsia="Arial"/>
          <w:lang w:eastAsia="zh-CN"/>
        </w:rPr>
        <w:t xml:space="preserve">intra-band ULCA </w:t>
      </w:r>
      <w:r>
        <w:rPr>
          <w:rFonts w:eastAsia="Arial"/>
          <w:lang w:eastAsia="zh-CN"/>
        </w:rPr>
        <w:t>(interference is dominated by IMDs of the two CC allocation)</w:t>
      </w:r>
    </w:p>
    <w:p w14:paraId="3C8E939C" w14:textId="5B09F7C1" w:rsidR="00A344C1" w:rsidRDefault="00A344C1">
      <w:pPr>
        <w:pStyle w:val="ListParagraph"/>
        <w:numPr>
          <w:ilvl w:val="1"/>
          <w:numId w:val="25"/>
        </w:numPr>
        <w:overflowPunct/>
        <w:autoSpaceDE/>
        <w:autoSpaceDN/>
        <w:adjustRightInd/>
        <w:spacing w:after="0" w:line="256" w:lineRule="auto"/>
        <w:ind w:firstLineChars="0"/>
        <w:textAlignment w:val="auto"/>
        <w:rPr>
          <w:rFonts w:eastAsia="Arial"/>
          <w:lang w:eastAsia="zh-CN"/>
        </w:rPr>
      </w:pPr>
      <w:r>
        <w:rPr>
          <w:rFonts w:eastAsia="Arial"/>
          <w:lang w:eastAsia="zh-CN"/>
        </w:rPr>
        <w:t xml:space="preserve">28dB or 35dB image rejection for single CC as interference is dominated by IMDs of the allocation and its </w:t>
      </w:r>
      <w:r w:rsidR="00304460">
        <w:rPr>
          <w:rFonts w:eastAsia="Arial"/>
          <w:lang w:eastAsia="zh-CN"/>
        </w:rPr>
        <w:t>image.</w:t>
      </w:r>
    </w:p>
    <w:p w14:paraId="0078DBD8" w14:textId="5B8302C4" w:rsidR="00D22946" w:rsidRPr="00A344C1" w:rsidRDefault="00D22946">
      <w:pPr>
        <w:pStyle w:val="ListParagraph"/>
        <w:numPr>
          <w:ilvl w:val="0"/>
          <w:numId w:val="25"/>
        </w:numPr>
        <w:overflowPunct/>
        <w:autoSpaceDE/>
        <w:autoSpaceDN/>
        <w:adjustRightInd/>
        <w:spacing w:after="0" w:line="256" w:lineRule="auto"/>
        <w:ind w:firstLineChars="0"/>
        <w:textAlignment w:val="auto"/>
        <w:rPr>
          <w:rFonts w:eastAsia="Arial"/>
          <w:lang w:eastAsia="zh-CN"/>
        </w:rPr>
      </w:pPr>
      <w:r w:rsidRPr="00A344C1">
        <w:rPr>
          <w:rFonts w:eastAsia="Arial"/>
          <w:lang w:eastAsia="zh-CN"/>
        </w:rPr>
        <w:t>The following 30kHz SCS RB allocations per 80MHz CCs are measured</w:t>
      </w:r>
      <w:r w:rsidR="00A344C1" w:rsidRPr="00A344C1">
        <w:rPr>
          <w:rFonts w:eastAsia="Arial"/>
          <w:lang w:eastAsia="zh-CN"/>
        </w:rPr>
        <w:t xml:space="preserve"> for </w:t>
      </w:r>
      <w:r w:rsidR="00304460">
        <w:rPr>
          <w:rFonts w:eastAsia="Arial"/>
          <w:lang w:eastAsia="zh-CN"/>
        </w:rPr>
        <w:t>intra-band ULCA</w:t>
      </w:r>
      <w:r w:rsidR="00A344C1" w:rsidRPr="00A344C1">
        <w:rPr>
          <w:rFonts w:eastAsia="Arial"/>
          <w:lang w:eastAsia="zh-CN"/>
        </w:rPr>
        <w:t>:</w:t>
      </w:r>
    </w:p>
    <w:p w14:paraId="2C73F71E" w14:textId="2E6002FC" w:rsidR="00304460" w:rsidRPr="00DF0D44" w:rsidRDefault="00D22946" w:rsidP="009F105C">
      <w:pPr>
        <w:pStyle w:val="ListParagraph"/>
        <w:numPr>
          <w:ilvl w:val="1"/>
          <w:numId w:val="25"/>
        </w:numPr>
        <w:overflowPunct/>
        <w:autoSpaceDE/>
        <w:autoSpaceDN/>
        <w:adjustRightInd/>
        <w:spacing w:after="0" w:line="256" w:lineRule="auto"/>
        <w:ind w:firstLineChars="0"/>
        <w:textAlignment w:val="auto"/>
        <w:rPr>
          <w:rFonts w:eastAsia="Arial"/>
          <w:lang w:eastAsia="zh-CN"/>
        </w:rPr>
      </w:pPr>
      <w:r w:rsidRPr="00DF0D44">
        <w:rPr>
          <w:rFonts w:eastAsia="Arial"/>
          <w:lang w:eastAsia="zh-CN"/>
        </w:rPr>
        <w:t>1RB0 + 1RB215</w:t>
      </w:r>
      <w:r w:rsidR="00DF0D44" w:rsidRPr="00DF0D44">
        <w:rPr>
          <w:rFonts w:eastAsia="Arial"/>
          <w:lang w:eastAsia="zh-CN"/>
        </w:rPr>
        <w:t xml:space="preserve"> / </w:t>
      </w:r>
      <w:r w:rsidRPr="00DF0D44">
        <w:rPr>
          <w:rFonts w:eastAsia="Arial"/>
          <w:lang w:eastAsia="zh-CN"/>
        </w:rPr>
        <w:t>12RB0 + 12RB204</w:t>
      </w:r>
      <w:r w:rsidR="00DF0D44" w:rsidRPr="00DF0D44">
        <w:rPr>
          <w:rFonts w:eastAsia="Arial"/>
          <w:lang w:eastAsia="zh-CN"/>
        </w:rPr>
        <w:t xml:space="preserve"> / </w:t>
      </w:r>
      <w:r w:rsidRPr="00DF0D44">
        <w:rPr>
          <w:rFonts w:eastAsia="Arial"/>
          <w:lang w:eastAsia="zh-CN"/>
        </w:rPr>
        <w:t>100RB0+100RB116</w:t>
      </w:r>
      <w:r w:rsidR="00DF0D44" w:rsidRPr="00DF0D44">
        <w:rPr>
          <w:rFonts w:eastAsia="Arial"/>
          <w:lang w:eastAsia="zh-CN"/>
        </w:rPr>
        <w:t xml:space="preserve"> / </w:t>
      </w:r>
      <w:r w:rsidRPr="00DF0D44">
        <w:rPr>
          <w:rFonts w:eastAsia="Arial"/>
          <w:lang w:eastAsia="zh-CN"/>
        </w:rPr>
        <w:t>216RB0+216RB0 (</w:t>
      </w:r>
      <w:r w:rsidR="00DF0D44">
        <w:rPr>
          <w:rFonts w:eastAsia="Arial"/>
          <w:lang w:eastAsia="zh-CN"/>
        </w:rPr>
        <w:t>F</w:t>
      </w:r>
      <w:r w:rsidRPr="00DF0D44">
        <w:rPr>
          <w:rFonts w:eastAsia="Arial"/>
          <w:lang w:eastAsia="zh-CN"/>
        </w:rPr>
        <w:t>ull+Full)</w:t>
      </w:r>
    </w:p>
    <w:p w14:paraId="3655D9A4" w14:textId="5907EC43" w:rsidR="00304460" w:rsidRPr="00304460" w:rsidRDefault="00304460">
      <w:pPr>
        <w:pStyle w:val="ListParagraph"/>
        <w:numPr>
          <w:ilvl w:val="1"/>
          <w:numId w:val="25"/>
        </w:numPr>
        <w:overflowPunct/>
        <w:autoSpaceDE/>
        <w:autoSpaceDN/>
        <w:adjustRightInd/>
        <w:spacing w:after="0" w:line="256" w:lineRule="auto"/>
        <w:ind w:firstLineChars="0"/>
        <w:textAlignment w:val="auto"/>
        <w:rPr>
          <w:rFonts w:eastAsia="Arial"/>
          <w:lang w:eastAsia="zh-CN"/>
        </w:rPr>
      </w:pPr>
      <w:r w:rsidRPr="00304460">
        <w:rPr>
          <w:rFonts w:eastAsia="Arial"/>
          <w:lang w:eastAsia="zh-CN"/>
        </w:rPr>
        <w:lastRenderedPageBreak/>
        <w:t>Note that the 3 first allocations are also representative of a non-contiguous ULCA of 40MHz+40MHz CCs with an 80MHz gap</w:t>
      </w:r>
    </w:p>
    <w:p w14:paraId="7F9CCF20" w14:textId="77777777" w:rsidR="00304460" w:rsidRDefault="00304460">
      <w:pPr>
        <w:pStyle w:val="ListParagraph"/>
        <w:numPr>
          <w:ilvl w:val="1"/>
          <w:numId w:val="25"/>
        </w:numPr>
        <w:overflowPunct/>
        <w:autoSpaceDE/>
        <w:autoSpaceDN/>
        <w:adjustRightInd/>
        <w:spacing w:after="0" w:line="256" w:lineRule="auto"/>
        <w:ind w:firstLineChars="0"/>
        <w:textAlignment w:val="auto"/>
        <w:rPr>
          <w:rFonts w:eastAsia="Arial"/>
          <w:lang w:eastAsia="zh-CN"/>
        </w:rPr>
      </w:pPr>
      <w:r w:rsidRPr="00304460">
        <w:rPr>
          <w:rFonts w:eastAsia="Arial"/>
          <w:lang w:eastAsia="zh-CN"/>
        </w:rPr>
        <w:t xml:space="preserve">Note that these 160MHz aggregated BW allocations are representative of a n41C configuration in China (although measured at 3.5GHz as this was the only notch filter available with enough rejection and BW). </w:t>
      </w:r>
    </w:p>
    <w:p w14:paraId="6B9C69E2" w14:textId="47F8272A" w:rsidR="00D22946" w:rsidRPr="00304460" w:rsidRDefault="00304460">
      <w:pPr>
        <w:pStyle w:val="ListParagraph"/>
        <w:numPr>
          <w:ilvl w:val="1"/>
          <w:numId w:val="25"/>
        </w:numPr>
        <w:overflowPunct/>
        <w:autoSpaceDE/>
        <w:autoSpaceDN/>
        <w:adjustRightInd/>
        <w:spacing w:after="0" w:line="256" w:lineRule="auto"/>
        <w:ind w:firstLineChars="0"/>
        <w:textAlignment w:val="auto"/>
        <w:rPr>
          <w:rFonts w:eastAsia="Arial"/>
          <w:lang w:eastAsia="zh-CN"/>
        </w:rPr>
      </w:pPr>
      <w:r w:rsidRPr="00304460">
        <w:rPr>
          <w:rFonts w:eastAsia="Arial"/>
          <w:lang w:eastAsia="zh-CN"/>
        </w:rPr>
        <w:t xml:space="preserve">The measurements were performed </w:t>
      </w:r>
      <w:r>
        <w:rPr>
          <w:rFonts w:eastAsia="Arial"/>
          <w:lang w:eastAsia="zh-CN"/>
        </w:rPr>
        <w:t xml:space="preserve">for </w:t>
      </w:r>
      <w:r w:rsidRPr="00304460">
        <w:rPr>
          <w:rFonts w:eastAsia="Arial"/>
          <w:lang w:eastAsia="zh-CN"/>
        </w:rPr>
        <w:t>0</w:t>
      </w:r>
      <w:r>
        <w:rPr>
          <w:rFonts w:eastAsia="Arial"/>
          <w:lang w:eastAsia="zh-CN"/>
        </w:rPr>
        <w:t xml:space="preserve"> to</w:t>
      </w:r>
      <w:r w:rsidRPr="00304460">
        <w:rPr>
          <w:rFonts w:eastAsia="Arial"/>
          <w:lang w:eastAsia="zh-CN"/>
        </w:rPr>
        <w:t xml:space="preserve"> 1</w:t>
      </w:r>
      <w:r>
        <w:rPr>
          <w:rFonts w:eastAsia="Arial"/>
          <w:lang w:eastAsia="zh-CN"/>
        </w:rPr>
        <w:t>0</w:t>
      </w:r>
      <w:r w:rsidRPr="00304460">
        <w:rPr>
          <w:rFonts w:eastAsia="Arial"/>
          <w:lang w:eastAsia="zh-CN"/>
        </w:rPr>
        <w:t>dB back</w:t>
      </w:r>
      <w:r>
        <w:rPr>
          <w:rFonts w:eastAsia="Arial"/>
          <w:lang w:eastAsia="zh-CN"/>
        </w:rPr>
        <w:t>-</w:t>
      </w:r>
      <w:r w:rsidRPr="00304460">
        <w:rPr>
          <w:rFonts w:eastAsia="Arial"/>
          <w:lang w:eastAsia="zh-CN"/>
        </w:rPr>
        <w:t xml:space="preserve">off </w:t>
      </w:r>
      <w:r>
        <w:rPr>
          <w:rFonts w:eastAsia="Arial"/>
          <w:lang w:eastAsia="zh-CN"/>
        </w:rPr>
        <w:t xml:space="preserve">in one dB steps </w:t>
      </w:r>
      <w:r w:rsidRPr="00304460">
        <w:rPr>
          <w:rFonts w:eastAsia="Arial"/>
          <w:lang w:eastAsia="zh-CN"/>
        </w:rPr>
        <w:t>for different contiguous and non-contiguous allocations for contiguous ULCA or non-contiguous ULCA</w:t>
      </w:r>
      <w:r>
        <w:rPr>
          <w:rFonts w:eastAsia="Arial"/>
          <w:lang w:eastAsia="zh-CN"/>
        </w:rPr>
        <w:t>.</w:t>
      </w:r>
    </w:p>
    <w:p w14:paraId="6EA6CF92" w14:textId="2EB1189C" w:rsidR="00304460" w:rsidRPr="00304460" w:rsidRDefault="00304460">
      <w:pPr>
        <w:pStyle w:val="ListParagraph"/>
        <w:numPr>
          <w:ilvl w:val="0"/>
          <w:numId w:val="25"/>
        </w:numPr>
        <w:overflowPunct/>
        <w:autoSpaceDE/>
        <w:autoSpaceDN/>
        <w:adjustRightInd/>
        <w:spacing w:after="0" w:line="256" w:lineRule="auto"/>
        <w:ind w:firstLineChars="0"/>
        <w:textAlignment w:val="auto"/>
        <w:rPr>
          <w:rFonts w:eastAsia="Arial"/>
          <w:lang w:eastAsia="zh-CN"/>
        </w:rPr>
      </w:pPr>
      <w:r w:rsidRPr="00304460">
        <w:rPr>
          <w:rFonts w:eastAsia="Arial"/>
          <w:lang w:eastAsia="zh-CN"/>
        </w:rPr>
        <w:t xml:space="preserve">The following 30kHz SCS RB allocations are measured for </w:t>
      </w:r>
      <w:r>
        <w:rPr>
          <w:rFonts w:eastAsia="Arial"/>
          <w:lang w:eastAsia="zh-CN"/>
        </w:rPr>
        <w:t xml:space="preserve">an </w:t>
      </w:r>
      <w:r w:rsidRPr="00304460">
        <w:rPr>
          <w:rFonts w:eastAsia="Arial"/>
          <w:lang w:eastAsia="zh-CN"/>
        </w:rPr>
        <w:t xml:space="preserve">80MHz </w:t>
      </w:r>
      <w:r>
        <w:rPr>
          <w:rFonts w:eastAsia="Arial"/>
          <w:lang w:eastAsia="zh-CN"/>
        </w:rPr>
        <w:t xml:space="preserve">single </w:t>
      </w:r>
      <w:r w:rsidRPr="00304460">
        <w:rPr>
          <w:rFonts w:eastAsia="Arial"/>
          <w:lang w:eastAsia="zh-CN"/>
        </w:rPr>
        <w:t>CCs:</w:t>
      </w:r>
    </w:p>
    <w:p w14:paraId="1A2E7B3B" w14:textId="588A9F23" w:rsidR="00304460" w:rsidRPr="00DF0D44" w:rsidRDefault="00304460" w:rsidP="00ED33A7">
      <w:pPr>
        <w:pStyle w:val="ListParagraph"/>
        <w:numPr>
          <w:ilvl w:val="1"/>
          <w:numId w:val="25"/>
        </w:numPr>
        <w:overflowPunct/>
        <w:autoSpaceDE/>
        <w:autoSpaceDN/>
        <w:adjustRightInd/>
        <w:spacing w:after="0" w:line="256" w:lineRule="auto"/>
        <w:ind w:firstLineChars="0"/>
        <w:textAlignment w:val="auto"/>
        <w:rPr>
          <w:rFonts w:eastAsia="Arial"/>
          <w:lang w:eastAsia="zh-CN"/>
        </w:rPr>
      </w:pPr>
      <w:r w:rsidRPr="00DF0D44">
        <w:rPr>
          <w:rFonts w:eastAsia="Arial"/>
          <w:lang w:eastAsia="zh-CN"/>
        </w:rPr>
        <w:t>216RB0</w:t>
      </w:r>
      <w:r w:rsidR="00DF0D44" w:rsidRPr="00DF0D44">
        <w:rPr>
          <w:rFonts w:eastAsia="Arial"/>
          <w:lang w:eastAsia="zh-CN"/>
        </w:rPr>
        <w:t xml:space="preserve"> / </w:t>
      </w:r>
      <w:r w:rsidRPr="00DF0D44">
        <w:rPr>
          <w:rFonts w:eastAsia="Arial"/>
          <w:lang w:eastAsia="zh-CN"/>
        </w:rPr>
        <w:t>100RB0</w:t>
      </w:r>
      <w:r w:rsidR="00DF0D44" w:rsidRPr="00DF0D44">
        <w:rPr>
          <w:rFonts w:eastAsia="Arial"/>
          <w:lang w:eastAsia="zh-CN"/>
        </w:rPr>
        <w:t xml:space="preserve"> / </w:t>
      </w:r>
      <w:r w:rsidRPr="00DF0D44">
        <w:rPr>
          <w:rFonts w:eastAsia="Arial"/>
          <w:lang w:eastAsia="zh-CN"/>
        </w:rPr>
        <w:t>12RB0</w:t>
      </w:r>
      <w:r w:rsidR="00DF0D44" w:rsidRPr="00DF0D44">
        <w:rPr>
          <w:rFonts w:eastAsia="Arial"/>
          <w:lang w:eastAsia="zh-CN"/>
        </w:rPr>
        <w:t xml:space="preserve"> / </w:t>
      </w:r>
      <w:r w:rsidRPr="00DF0D44">
        <w:rPr>
          <w:rFonts w:eastAsia="Arial"/>
          <w:lang w:eastAsia="zh-CN"/>
        </w:rPr>
        <w:t>1RB0</w:t>
      </w:r>
    </w:p>
    <w:p w14:paraId="3628107F" w14:textId="55791BDF" w:rsidR="00304460" w:rsidRPr="0012092E" w:rsidRDefault="00304460">
      <w:pPr>
        <w:pStyle w:val="ListParagraph"/>
        <w:numPr>
          <w:ilvl w:val="1"/>
          <w:numId w:val="25"/>
        </w:numPr>
        <w:overflowPunct/>
        <w:autoSpaceDE/>
        <w:autoSpaceDN/>
        <w:adjustRightInd/>
        <w:spacing w:after="0" w:line="256" w:lineRule="auto"/>
        <w:ind w:firstLineChars="0"/>
        <w:textAlignment w:val="auto"/>
        <w:rPr>
          <w:rFonts w:eastAsia="Arial"/>
          <w:lang w:eastAsia="zh-CN"/>
        </w:rPr>
      </w:pPr>
      <w:r w:rsidRPr="00304460">
        <w:rPr>
          <w:rFonts w:eastAsia="Arial"/>
          <w:lang w:eastAsia="zh-CN"/>
        </w:rPr>
        <w:t xml:space="preserve">The measurements were performed </w:t>
      </w:r>
      <w:r>
        <w:rPr>
          <w:rFonts w:eastAsia="Arial"/>
          <w:lang w:eastAsia="zh-CN"/>
        </w:rPr>
        <w:t xml:space="preserve">for </w:t>
      </w:r>
      <w:r w:rsidRPr="00304460">
        <w:rPr>
          <w:rFonts w:eastAsia="Arial"/>
          <w:lang w:eastAsia="zh-CN"/>
        </w:rPr>
        <w:t>0</w:t>
      </w:r>
      <w:r>
        <w:rPr>
          <w:rFonts w:eastAsia="Arial"/>
          <w:lang w:eastAsia="zh-CN"/>
        </w:rPr>
        <w:t xml:space="preserve"> and 1</w:t>
      </w:r>
      <w:r w:rsidRPr="00304460">
        <w:rPr>
          <w:rFonts w:eastAsia="Arial"/>
          <w:lang w:eastAsia="zh-CN"/>
        </w:rPr>
        <w:t>dB back</w:t>
      </w:r>
      <w:r>
        <w:rPr>
          <w:rFonts w:eastAsia="Arial"/>
          <w:lang w:eastAsia="zh-CN"/>
        </w:rPr>
        <w:t>-</w:t>
      </w:r>
      <w:r w:rsidRPr="00304460">
        <w:rPr>
          <w:rFonts w:eastAsia="Arial"/>
          <w:lang w:eastAsia="zh-CN"/>
        </w:rPr>
        <w:t xml:space="preserve">off </w:t>
      </w:r>
      <w:r>
        <w:rPr>
          <w:rFonts w:eastAsia="Arial"/>
          <w:lang w:eastAsia="zh-CN"/>
        </w:rPr>
        <w:t>corresponding to no MPR or outer</w:t>
      </w:r>
      <w:r w:rsidR="0012092E">
        <w:rPr>
          <w:rFonts w:eastAsia="Arial"/>
          <w:lang w:eastAsia="zh-CN"/>
        </w:rPr>
        <w:t xml:space="preserve"> PC3 single </w:t>
      </w:r>
      <w:r>
        <w:rPr>
          <w:rFonts w:eastAsia="Arial"/>
          <w:lang w:eastAsia="zh-CN"/>
        </w:rPr>
        <w:t>MPR for DFT-s-OFDM QPSK.</w:t>
      </w:r>
    </w:p>
    <w:p w14:paraId="6B71E704" w14:textId="4633B8C1" w:rsidR="00D22946" w:rsidRPr="00304460" w:rsidRDefault="00D22946">
      <w:pPr>
        <w:pStyle w:val="ListParagraph"/>
        <w:numPr>
          <w:ilvl w:val="0"/>
          <w:numId w:val="25"/>
        </w:numPr>
        <w:overflowPunct/>
        <w:autoSpaceDE/>
        <w:autoSpaceDN/>
        <w:adjustRightInd/>
        <w:spacing w:after="0" w:line="256" w:lineRule="auto"/>
        <w:ind w:firstLineChars="0"/>
        <w:textAlignment w:val="auto"/>
        <w:rPr>
          <w:rFonts w:eastAsia="Arial"/>
          <w:lang w:eastAsia="zh-CN"/>
        </w:rPr>
      </w:pPr>
      <w:r w:rsidRPr="00304460">
        <w:rPr>
          <w:rFonts w:eastAsia="Arial"/>
          <w:lang w:eastAsia="zh-CN"/>
        </w:rPr>
        <w:t xml:space="preserve">The spectrum is measured over a very large bandwidth of 2 GHz to 8GHz with a </w:t>
      </w:r>
      <w:r w:rsidR="0012092E">
        <w:rPr>
          <w:rFonts w:eastAsia="Arial"/>
          <w:lang w:eastAsia="zh-CN"/>
        </w:rPr>
        <w:t>5</w:t>
      </w:r>
      <w:r w:rsidRPr="00304460">
        <w:rPr>
          <w:rFonts w:eastAsia="Arial"/>
          <w:lang w:eastAsia="zh-CN"/>
        </w:rPr>
        <w:t>00kHz resolution bandwidth</w:t>
      </w:r>
      <w:r w:rsidR="0012092E">
        <w:rPr>
          <w:rFonts w:eastAsia="Arial"/>
          <w:lang w:eastAsia="zh-CN"/>
        </w:rPr>
        <w:t xml:space="preserve"> with 100kHz steps</w:t>
      </w:r>
      <w:r w:rsidRPr="00304460">
        <w:rPr>
          <w:rFonts w:eastAsia="Arial"/>
          <w:lang w:eastAsia="zh-CN"/>
        </w:rPr>
        <w:t xml:space="preserve"> w</w:t>
      </w:r>
      <w:r w:rsidR="0012092E">
        <w:rPr>
          <w:rFonts w:eastAsia="Arial"/>
          <w:lang w:eastAsia="zh-CN"/>
        </w:rPr>
        <w:t>ith</w:t>
      </w:r>
      <w:r w:rsidRPr="00304460">
        <w:rPr>
          <w:rFonts w:eastAsia="Arial"/>
          <w:lang w:eastAsia="zh-CN"/>
        </w:rPr>
        <w:t xml:space="preserve"> 3 different </w:t>
      </w:r>
      <w:r w:rsidR="0012092E">
        <w:rPr>
          <w:rFonts w:eastAsia="Arial"/>
          <w:lang w:eastAsia="zh-CN"/>
        </w:rPr>
        <w:t>paths</w:t>
      </w:r>
      <w:r w:rsidRPr="00304460">
        <w:rPr>
          <w:rFonts w:eastAsia="Arial"/>
          <w:lang w:eastAsia="zh-CN"/>
        </w:rPr>
        <w:t xml:space="preserve"> for different ranges with their frequency response in Figure 1:</w:t>
      </w:r>
    </w:p>
    <w:p w14:paraId="3D817856" w14:textId="5A7C97AE" w:rsidR="00D22946" w:rsidRPr="00304460" w:rsidRDefault="00D22946">
      <w:pPr>
        <w:pStyle w:val="ListParagraph"/>
        <w:numPr>
          <w:ilvl w:val="1"/>
          <w:numId w:val="25"/>
        </w:numPr>
        <w:overflowPunct/>
        <w:autoSpaceDE/>
        <w:autoSpaceDN/>
        <w:adjustRightInd/>
        <w:spacing w:after="0" w:line="256" w:lineRule="auto"/>
        <w:ind w:firstLineChars="0"/>
        <w:textAlignment w:val="auto"/>
        <w:rPr>
          <w:rFonts w:eastAsia="Arial"/>
          <w:lang w:eastAsia="zh-CN"/>
        </w:rPr>
      </w:pPr>
      <w:r w:rsidRPr="00304460">
        <w:rPr>
          <w:rFonts w:eastAsia="Arial"/>
          <w:lang w:eastAsia="zh-CN"/>
        </w:rPr>
        <w:t xml:space="preserve">A band stop filter (&gt;70dB rejection over 200MHz) </w:t>
      </w:r>
      <w:r w:rsidR="0012092E">
        <w:rPr>
          <w:rFonts w:eastAsia="Arial"/>
          <w:lang w:eastAsia="zh-CN"/>
        </w:rPr>
        <w:t>notching the carriers</w:t>
      </w:r>
      <w:r w:rsidRPr="00304460">
        <w:rPr>
          <w:rFonts w:eastAsia="Arial"/>
          <w:lang w:eastAsia="zh-CN"/>
        </w:rPr>
        <w:t xml:space="preserve"> for 2</w:t>
      </w:r>
      <w:r w:rsidR="0012092E">
        <w:rPr>
          <w:rFonts w:eastAsia="Arial"/>
          <w:lang w:eastAsia="zh-CN"/>
        </w:rPr>
        <w:t>.0</w:t>
      </w:r>
      <w:r w:rsidRPr="00304460">
        <w:rPr>
          <w:rFonts w:eastAsia="Arial"/>
          <w:lang w:eastAsia="zh-CN"/>
        </w:rPr>
        <w:t>-4.5GHz (red trace)</w:t>
      </w:r>
      <w:r w:rsidR="0012092E">
        <w:rPr>
          <w:rFonts w:eastAsia="Arial"/>
          <w:lang w:eastAsia="zh-CN"/>
        </w:rPr>
        <w:t xml:space="preserve"> allowing very low noise floor for </w:t>
      </w:r>
    </w:p>
    <w:p w14:paraId="2AF25E99" w14:textId="539E8738" w:rsidR="00D22946" w:rsidRDefault="00D22946">
      <w:pPr>
        <w:pStyle w:val="ListParagraph"/>
        <w:numPr>
          <w:ilvl w:val="1"/>
          <w:numId w:val="25"/>
        </w:numPr>
        <w:overflowPunct/>
        <w:autoSpaceDE/>
        <w:autoSpaceDN/>
        <w:adjustRightInd/>
        <w:spacing w:after="0" w:line="256" w:lineRule="auto"/>
        <w:ind w:firstLineChars="0"/>
        <w:textAlignment w:val="auto"/>
        <w:rPr>
          <w:rFonts w:eastAsia="Arial"/>
          <w:lang w:eastAsia="zh-CN"/>
        </w:rPr>
      </w:pPr>
      <w:r w:rsidRPr="00304460">
        <w:rPr>
          <w:rFonts w:eastAsia="Arial"/>
          <w:lang w:eastAsia="zh-CN"/>
        </w:rPr>
        <w:t>A high pass filter for 4.5</w:t>
      </w:r>
      <w:r w:rsidR="0012092E">
        <w:rPr>
          <w:rFonts w:eastAsia="Arial"/>
          <w:lang w:eastAsia="zh-CN"/>
        </w:rPr>
        <w:t>-8</w:t>
      </w:r>
      <w:r w:rsidRPr="00304460">
        <w:rPr>
          <w:rFonts w:eastAsia="Arial"/>
          <w:lang w:eastAsia="zh-CN"/>
        </w:rPr>
        <w:t>GHz (green trace)</w:t>
      </w:r>
      <w:r w:rsidR="0012092E">
        <w:rPr>
          <w:rFonts w:eastAsia="Arial"/>
          <w:lang w:eastAsia="zh-CN"/>
        </w:rPr>
        <w:t xml:space="preserve"> for H2 related interferers for ULCA case only</w:t>
      </w:r>
    </w:p>
    <w:p w14:paraId="62D9ABB9" w14:textId="7B687E82" w:rsidR="0012092E" w:rsidRDefault="0012092E">
      <w:pPr>
        <w:pStyle w:val="ListParagraph"/>
        <w:numPr>
          <w:ilvl w:val="1"/>
          <w:numId w:val="25"/>
        </w:numPr>
        <w:overflowPunct/>
        <w:autoSpaceDE/>
        <w:autoSpaceDN/>
        <w:adjustRightInd/>
        <w:spacing w:after="0" w:line="256" w:lineRule="auto"/>
        <w:ind w:firstLineChars="0"/>
        <w:textAlignment w:val="auto"/>
        <w:rPr>
          <w:rFonts w:eastAsia="Arial"/>
          <w:lang w:eastAsia="zh-CN"/>
        </w:rPr>
      </w:pPr>
      <w:r>
        <w:rPr>
          <w:rFonts w:eastAsia="Arial"/>
          <w:lang w:eastAsia="zh-CN"/>
        </w:rPr>
        <w:t>A direct PA output for the signal and the ACLR/IMD3/IMD5 range covering 3.1-3.9GHz</w:t>
      </w:r>
    </w:p>
    <w:p w14:paraId="042AD5DA" w14:textId="14532FBD" w:rsidR="0012092E" w:rsidRDefault="0012092E">
      <w:pPr>
        <w:pStyle w:val="ListParagraph"/>
        <w:numPr>
          <w:ilvl w:val="1"/>
          <w:numId w:val="25"/>
        </w:numPr>
        <w:overflowPunct/>
        <w:autoSpaceDE/>
        <w:autoSpaceDN/>
        <w:adjustRightInd/>
        <w:spacing w:after="0" w:line="256" w:lineRule="auto"/>
        <w:ind w:firstLineChars="0"/>
        <w:textAlignment w:val="auto"/>
        <w:rPr>
          <w:rFonts w:eastAsia="Arial"/>
          <w:lang w:eastAsia="zh-CN"/>
        </w:rPr>
      </w:pPr>
      <w:r>
        <w:rPr>
          <w:rFonts w:eastAsia="Arial"/>
          <w:lang w:eastAsia="zh-CN"/>
        </w:rPr>
        <w:t xml:space="preserve">Note that the LPF (blue trace) is not used as the notch path can cover </w:t>
      </w:r>
      <w:r w:rsidR="00DF0D44">
        <w:rPr>
          <w:rFonts w:eastAsia="Arial"/>
          <w:lang w:eastAsia="zh-CN"/>
        </w:rPr>
        <w:t xml:space="preserve">the same </w:t>
      </w:r>
      <w:r>
        <w:rPr>
          <w:rFonts w:eastAsia="Arial"/>
          <w:lang w:eastAsia="zh-CN"/>
        </w:rPr>
        <w:t>frequency range.</w:t>
      </w:r>
    </w:p>
    <w:p w14:paraId="3956E462" w14:textId="40685FEE" w:rsidR="0012092E" w:rsidRPr="00304460" w:rsidRDefault="0012092E">
      <w:pPr>
        <w:pStyle w:val="ListParagraph"/>
        <w:numPr>
          <w:ilvl w:val="1"/>
          <w:numId w:val="25"/>
        </w:numPr>
        <w:overflowPunct/>
        <w:autoSpaceDE/>
        <w:autoSpaceDN/>
        <w:adjustRightInd/>
        <w:spacing w:after="0" w:line="256" w:lineRule="auto"/>
        <w:ind w:firstLineChars="0"/>
        <w:textAlignment w:val="auto"/>
        <w:rPr>
          <w:rFonts w:eastAsia="Arial"/>
          <w:lang w:eastAsia="zh-CN"/>
        </w:rPr>
      </w:pPr>
      <w:r>
        <w:rPr>
          <w:rFonts w:eastAsia="Arial"/>
          <w:lang w:eastAsia="zh-CN"/>
        </w:rPr>
        <w:t>The entire spectrum is reconstituted by properly selecting signals from the 3 paths depending on the frequency range.</w:t>
      </w:r>
    </w:p>
    <w:p w14:paraId="2F23E7E1" w14:textId="77777777" w:rsidR="00D22946" w:rsidRDefault="00D22946" w:rsidP="00D22946">
      <w:pPr>
        <w:spacing w:after="0"/>
        <w:jc w:val="center"/>
        <w:rPr>
          <w:rFonts w:eastAsia="Arial"/>
          <w:lang w:eastAsia="zh-CN"/>
        </w:rPr>
      </w:pPr>
    </w:p>
    <w:p w14:paraId="0F83637B" w14:textId="2400A061" w:rsidR="00D22946" w:rsidRDefault="00D22946" w:rsidP="00D22946">
      <w:pPr>
        <w:keepNext/>
        <w:jc w:val="center"/>
        <w:rPr>
          <w:rFonts w:eastAsiaTheme="minorHAnsi"/>
          <w:lang w:eastAsia="en-US"/>
        </w:rPr>
      </w:pPr>
      <w:r>
        <w:rPr>
          <w:rFonts w:eastAsia="Arial"/>
          <w:noProof/>
          <w:lang w:eastAsia="zh-CN"/>
        </w:rPr>
        <w:drawing>
          <wp:inline distT="0" distB="0" distL="0" distR="0" wp14:anchorId="54FC6398" wp14:editId="4AD68D89">
            <wp:extent cx="5924550" cy="30670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24550" cy="3067050"/>
                    </a:xfrm>
                    <a:prstGeom prst="rect">
                      <a:avLst/>
                    </a:prstGeom>
                    <a:noFill/>
                    <a:ln>
                      <a:noFill/>
                    </a:ln>
                  </pic:spPr>
                </pic:pic>
              </a:graphicData>
            </a:graphic>
          </wp:inline>
        </w:drawing>
      </w:r>
    </w:p>
    <w:p w14:paraId="3E8C16C3" w14:textId="7A16144B" w:rsidR="00D22946" w:rsidRDefault="00D22946" w:rsidP="00D22946">
      <w:pPr>
        <w:pStyle w:val="Caption"/>
        <w:rPr>
          <w:rFonts w:eastAsia="Arial"/>
          <w:lang w:eastAsia="zh-CN"/>
        </w:rPr>
      </w:pPr>
      <w:r>
        <w:t xml:space="preserve">Figure </w:t>
      </w:r>
      <w:r>
        <w:fldChar w:fldCharType="begin"/>
      </w:r>
      <w:r>
        <w:instrText xml:space="preserve"> SEQ Figure \* ARABIC </w:instrText>
      </w:r>
      <w:r>
        <w:fldChar w:fldCharType="separate"/>
      </w:r>
      <w:r w:rsidR="007B385C">
        <w:rPr>
          <w:noProof/>
        </w:rPr>
        <w:t>1</w:t>
      </w:r>
      <w:r>
        <w:fldChar w:fldCharType="end"/>
      </w:r>
      <w:r>
        <w:t>: frequency response of the three filters used to measure the wideband spectrum of the two CCs IMDs.</w:t>
      </w:r>
    </w:p>
    <w:p w14:paraId="0A269950" w14:textId="0553E023" w:rsidR="00E03228" w:rsidRDefault="00E03228" w:rsidP="00E03228">
      <w:pPr>
        <w:pStyle w:val="Heading2"/>
        <w:rPr>
          <w:rFonts w:eastAsia="Arial"/>
          <w:lang w:eastAsia="zh-CN"/>
        </w:rPr>
      </w:pPr>
      <w:r>
        <w:rPr>
          <w:rFonts w:eastAsia="Arial"/>
          <w:lang w:eastAsia="zh-CN"/>
        </w:rPr>
        <w:t>2.</w:t>
      </w:r>
      <w:r w:rsidR="00F81A95">
        <w:rPr>
          <w:rFonts w:eastAsia="Arial"/>
          <w:lang w:eastAsia="zh-CN"/>
        </w:rPr>
        <w:t>3</w:t>
      </w:r>
      <w:r>
        <w:rPr>
          <w:rFonts w:eastAsia="Arial"/>
          <w:lang w:eastAsia="zh-CN"/>
        </w:rPr>
        <w:t xml:space="preserve"> </w:t>
      </w:r>
      <w:r w:rsidR="0012092E">
        <w:rPr>
          <w:rFonts w:eastAsia="Arial"/>
          <w:lang w:eastAsia="zh-CN"/>
        </w:rPr>
        <w:t>S</w:t>
      </w:r>
      <w:r w:rsidR="00D22946">
        <w:rPr>
          <w:rFonts w:eastAsia="Arial"/>
          <w:lang w:eastAsia="zh-CN"/>
        </w:rPr>
        <w:t xml:space="preserve">ingle CC and ULCA </w:t>
      </w:r>
      <w:r w:rsidR="0012092E">
        <w:rPr>
          <w:rFonts w:eastAsia="Arial"/>
          <w:lang w:eastAsia="zh-CN"/>
        </w:rPr>
        <w:t xml:space="preserve">measured </w:t>
      </w:r>
      <w:r w:rsidR="00F81A95">
        <w:rPr>
          <w:rFonts w:eastAsia="Arial"/>
          <w:lang w:eastAsia="zh-CN"/>
        </w:rPr>
        <w:t>interference</w:t>
      </w:r>
      <w:r w:rsidR="0012092E">
        <w:rPr>
          <w:rFonts w:eastAsia="Arial"/>
          <w:lang w:eastAsia="zh-CN"/>
        </w:rPr>
        <w:t xml:space="preserve"> at MPR0</w:t>
      </w:r>
      <w:r w:rsidR="00D22946">
        <w:rPr>
          <w:rFonts w:eastAsia="Arial"/>
          <w:lang w:eastAsia="zh-CN"/>
        </w:rPr>
        <w:t>.</w:t>
      </w:r>
    </w:p>
    <w:p w14:paraId="2A28DAAD" w14:textId="22CCB074" w:rsidR="00015662" w:rsidRDefault="00766B46" w:rsidP="00E30194">
      <w:pPr>
        <w:spacing w:after="0"/>
      </w:pPr>
      <w:r>
        <w:t xml:space="preserve">In order to </w:t>
      </w:r>
      <w:r w:rsidR="000C1F3F">
        <w:t>assess</w:t>
      </w:r>
      <w:r>
        <w:t xml:space="preserve"> the potential interference issue due to intra-band ULCA</w:t>
      </w:r>
      <w:r w:rsidR="000C1F3F">
        <w:t>, the</w:t>
      </w:r>
      <w:r>
        <w:t xml:space="preserve"> </w:t>
      </w:r>
      <w:r w:rsidR="000C1F3F">
        <w:t xml:space="preserve">related </w:t>
      </w:r>
      <w:r>
        <w:t xml:space="preserve">MSD </w:t>
      </w:r>
      <w:r w:rsidR="000C1F3F">
        <w:t xml:space="preserve">is compared </w:t>
      </w:r>
      <w:r>
        <w:t>versus the more usual single CC crossband MSD</w:t>
      </w:r>
      <w:r w:rsidR="000C1F3F">
        <w:t xml:space="preserve"> in a set of measurements</w:t>
      </w:r>
      <w:r w:rsidR="000C1F3F" w:rsidRPr="000C1F3F">
        <w:t xml:space="preserve"> </w:t>
      </w:r>
      <w:r w:rsidR="000C1F3F">
        <w:t>of ULCA and single CC cases.</w:t>
      </w:r>
      <w:r>
        <w:t xml:space="preserve"> </w:t>
      </w:r>
      <w:r w:rsidR="000C1F3F">
        <w:t>T</w:t>
      </w:r>
      <w:r>
        <w:t>he challenge in terms of coexistence or MPR</w:t>
      </w:r>
      <w:r w:rsidR="000C1F3F">
        <w:t xml:space="preserve"> is also discussed.</w:t>
      </w:r>
    </w:p>
    <w:p w14:paraId="219A1F05" w14:textId="30A4C43B" w:rsidR="000C1F3F" w:rsidRDefault="000C1F3F" w:rsidP="00E30194">
      <w:pPr>
        <w:spacing w:after="0"/>
      </w:pPr>
    </w:p>
    <w:p w14:paraId="558C35CD" w14:textId="1864539F" w:rsidR="00F81A95" w:rsidRDefault="000C1F3F" w:rsidP="00E30194">
      <w:pPr>
        <w:spacing w:after="0"/>
      </w:pPr>
      <w:r>
        <w:t xml:space="preserve">Since all MSD are assuming MPR0 in 3GPP, we first compare </w:t>
      </w:r>
      <w:r w:rsidR="00A344C1">
        <w:t xml:space="preserve">single CC and </w:t>
      </w:r>
      <w:r w:rsidR="0012092E">
        <w:t>intra-band ULCA interference</w:t>
      </w:r>
      <w:r w:rsidR="00F81A95">
        <w:t>:</w:t>
      </w:r>
    </w:p>
    <w:p w14:paraId="5BE8B3DB" w14:textId="1AD9C850" w:rsidR="00F81A95" w:rsidRDefault="00F81A95">
      <w:pPr>
        <w:pStyle w:val="ListParagraph"/>
        <w:numPr>
          <w:ilvl w:val="0"/>
          <w:numId w:val="26"/>
        </w:numPr>
        <w:spacing w:after="0"/>
        <w:ind w:firstLineChars="0"/>
      </w:pPr>
      <w:r>
        <w:t>All plots use a 1MHz measurement BW (corrected from the 500KHz RBW)</w:t>
      </w:r>
    </w:p>
    <w:p w14:paraId="2FE67636" w14:textId="4B76357F" w:rsidR="00F81A95" w:rsidRDefault="00F81A95">
      <w:pPr>
        <w:pStyle w:val="ListParagraph"/>
        <w:numPr>
          <w:ilvl w:val="0"/>
          <w:numId w:val="26"/>
        </w:numPr>
        <w:spacing w:after="0"/>
        <w:ind w:firstLineChars="0"/>
      </w:pPr>
      <w:r>
        <w:t>Figure 1 covers the carrier region for the 4 intra-band ULCA cases</w:t>
      </w:r>
    </w:p>
    <w:p w14:paraId="3EF1E04C" w14:textId="15B23D6D" w:rsidR="00F81A95" w:rsidRPr="00DF0D44" w:rsidRDefault="00F81A95" w:rsidP="00B35F58">
      <w:pPr>
        <w:pStyle w:val="ListParagraph"/>
        <w:numPr>
          <w:ilvl w:val="1"/>
          <w:numId w:val="26"/>
        </w:numPr>
        <w:overflowPunct/>
        <w:autoSpaceDE/>
        <w:autoSpaceDN/>
        <w:adjustRightInd/>
        <w:spacing w:after="0" w:line="256" w:lineRule="auto"/>
        <w:ind w:firstLineChars="0"/>
        <w:textAlignment w:val="auto"/>
        <w:rPr>
          <w:rFonts w:eastAsia="Arial"/>
          <w:lang w:eastAsia="zh-CN"/>
        </w:rPr>
      </w:pPr>
      <w:r w:rsidRPr="00DF0D44">
        <w:rPr>
          <w:rFonts w:eastAsia="Arial"/>
          <w:lang w:eastAsia="zh-CN"/>
        </w:rPr>
        <w:t>1RB0 + 1RB215 (orange)</w:t>
      </w:r>
      <w:r w:rsidR="00DF0D44" w:rsidRPr="00DF0D44">
        <w:rPr>
          <w:rFonts w:eastAsia="Arial"/>
          <w:lang w:eastAsia="zh-CN"/>
        </w:rPr>
        <w:t xml:space="preserve">, </w:t>
      </w:r>
      <w:r w:rsidRPr="00DF0D44">
        <w:rPr>
          <w:rFonts w:eastAsia="Arial"/>
          <w:lang w:eastAsia="zh-CN"/>
        </w:rPr>
        <w:t>12RB0 + 12RB204 (dark orange)</w:t>
      </w:r>
      <w:r w:rsidR="00DF0D44" w:rsidRPr="00DF0D44">
        <w:rPr>
          <w:rFonts w:eastAsia="Arial"/>
          <w:lang w:eastAsia="zh-CN"/>
        </w:rPr>
        <w:t xml:space="preserve">, </w:t>
      </w:r>
      <w:r w:rsidRPr="00DF0D44">
        <w:rPr>
          <w:rFonts w:eastAsia="Arial"/>
          <w:lang w:eastAsia="zh-CN"/>
        </w:rPr>
        <w:t>100RB0+100RB116 (red)</w:t>
      </w:r>
      <w:r w:rsidR="00DF0D44" w:rsidRPr="00DF0D44">
        <w:rPr>
          <w:rFonts w:eastAsia="Arial"/>
          <w:lang w:eastAsia="zh-CN"/>
        </w:rPr>
        <w:t xml:space="preserve">, </w:t>
      </w:r>
      <w:r w:rsidRPr="00DF0D44">
        <w:rPr>
          <w:rFonts w:eastAsia="Arial"/>
          <w:lang w:eastAsia="zh-CN"/>
        </w:rPr>
        <w:t>216RB0+216RB0 (brown)</w:t>
      </w:r>
    </w:p>
    <w:p w14:paraId="6982AECC" w14:textId="0D5F9243" w:rsidR="00F81A95" w:rsidRDefault="00F81A95">
      <w:pPr>
        <w:pStyle w:val="ListParagraph"/>
        <w:numPr>
          <w:ilvl w:val="1"/>
          <w:numId w:val="26"/>
        </w:numPr>
        <w:overflowPunct/>
        <w:autoSpaceDE/>
        <w:autoSpaceDN/>
        <w:adjustRightInd/>
        <w:spacing w:after="0" w:line="256" w:lineRule="auto"/>
        <w:ind w:firstLineChars="0"/>
        <w:textAlignment w:val="auto"/>
        <w:rPr>
          <w:rFonts w:eastAsia="Arial"/>
          <w:lang w:eastAsia="zh-CN"/>
        </w:rPr>
      </w:pPr>
      <w:r>
        <w:rPr>
          <w:rFonts w:eastAsia="Arial"/>
          <w:lang w:eastAsia="zh-CN"/>
        </w:rPr>
        <w:t>The same color coding is used for all the plots</w:t>
      </w:r>
    </w:p>
    <w:p w14:paraId="4F36722C" w14:textId="2E2019EB" w:rsidR="00F81A95" w:rsidRDefault="00F81A95">
      <w:pPr>
        <w:pStyle w:val="ListParagraph"/>
        <w:numPr>
          <w:ilvl w:val="0"/>
          <w:numId w:val="26"/>
        </w:numPr>
        <w:overflowPunct/>
        <w:autoSpaceDE/>
        <w:autoSpaceDN/>
        <w:adjustRightInd/>
        <w:spacing w:after="0" w:line="256" w:lineRule="auto"/>
        <w:ind w:firstLineChars="0"/>
        <w:textAlignment w:val="auto"/>
        <w:rPr>
          <w:rFonts w:eastAsia="Arial"/>
          <w:lang w:eastAsia="zh-CN"/>
        </w:rPr>
      </w:pPr>
      <w:r>
        <w:rPr>
          <w:rFonts w:eastAsia="Arial"/>
          <w:lang w:eastAsia="zh-CN"/>
        </w:rPr>
        <w:t>Figure 2 covers the single CC carrier region for the 8 single CC cases:</w:t>
      </w:r>
    </w:p>
    <w:p w14:paraId="208F17AE" w14:textId="4E31668D" w:rsidR="00F81A95" w:rsidRDefault="00F81A95">
      <w:pPr>
        <w:pStyle w:val="ListParagraph"/>
        <w:numPr>
          <w:ilvl w:val="1"/>
          <w:numId w:val="26"/>
        </w:numPr>
        <w:overflowPunct/>
        <w:autoSpaceDE/>
        <w:autoSpaceDN/>
        <w:adjustRightInd/>
        <w:spacing w:after="0" w:line="256" w:lineRule="auto"/>
        <w:ind w:firstLineChars="0"/>
        <w:textAlignment w:val="auto"/>
        <w:rPr>
          <w:rFonts w:eastAsia="Arial"/>
          <w:lang w:eastAsia="zh-CN"/>
        </w:rPr>
      </w:pPr>
      <w:r>
        <w:rPr>
          <w:rFonts w:eastAsia="Arial"/>
          <w:lang w:eastAsia="zh-CN"/>
        </w:rPr>
        <w:t>216RB0 with 28dB image (purple) in left and right plots. No 35dB image in this case as image has no influence for this full allocation.</w:t>
      </w:r>
    </w:p>
    <w:p w14:paraId="6C807CBB" w14:textId="3EBB8F56" w:rsidR="00F81A95" w:rsidRDefault="00F81A95">
      <w:pPr>
        <w:pStyle w:val="ListParagraph"/>
        <w:numPr>
          <w:ilvl w:val="1"/>
          <w:numId w:val="26"/>
        </w:numPr>
        <w:overflowPunct/>
        <w:autoSpaceDE/>
        <w:autoSpaceDN/>
        <w:adjustRightInd/>
        <w:spacing w:after="0" w:line="256" w:lineRule="auto"/>
        <w:ind w:firstLineChars="0"/>
        <w:textAlignment w:val="auto"/>
        <w:rPr>
          <w:rFonts w:eastAsia="Arial"/>
          <w:lang w:eastAsia="zh-CN"/>
        </w:rPr>
      </w:pPr>
      <w:r>
        <w:rPr>
          <w:rFonts w:eastAsia="Arial"/>
          <w:lang w:eastAsia="zh-CN"/>
        </w:rPr>
        <w:t>12RB0 with 28dB image (dark blue) in left plot and with 35 image (light green) right plot</w:t>
      </w:r>
    </w:p>
    <w:p w14:paraId="3000BA3A" w14:textId="5925949F" w:rsidR="00F81A95" w:rsidRDefault="00F81A95">
      <w:pPr>
        <w:pStyle w:val="ListParagraph"/>
        <w:numPr>
          <w:ilvl w:val="1"/>
          <w:numId w:val="26"/>
        </w:numPr>
        <w:overflowPunct/>
        <w:autoSpaceDE/>
        <w:autoSpaceDN/>
        <w:adjustRightInd/>
        <w:spacing w:after="0" w:line="256" w:lineRule="auto"/>
        <w:ind w:firstLineChars="0"/>
        <w:textAlignment w:val="auto"/>
        <w:rPr>
          <w:rFonts w:eastAsia="Arial"/>
          <w:lang w:eastAsia="zh-CN"/>
        </w:rPr>
      </w:pPr>
      <w:r w:rsidRPr="00643EEC">
        <w:rPr>
          <w:rFonts w:eastAsia="Arial"/>
          <w:lang w:eastAsia="zh-CN"/>
        </w:rPr>
        <w:t>1RB0 with 28dB image (cyan) in left plot and with 35 image (dark green) right plot</w:t>
      </w:r>
      <w:r w:rsidR="00643EEC">
        <w:rPr>
          <w:rFonts w:eastAsia="Arial"/>
          <w:lang w:eastAsia="zh-CN"/>
        </w:rPr>
        <w:t>.</w:t>
      </w:r>
    </w:p>
    <w:p w14:paraId="11C36B3C" w14:textId="2C3973F4" w:rsidR="00643EEC" w:rsidRPr="00643EEC" w:rsidRDefault="00643EEC">
      <w:pPr>
        <w:pStyle w:val="ListParagraph"/>
        <w:numPr>
          <w:ilvl w:val="0"/>
          <w:numId w:val="26"/>
        </w:numPr>
        <w:overflowPunct/>
        <w:autoSpaceDE/>
        <w:autoSpaceDN/>
        <w:adjustRightInd/>
        <w:spacing w:after="0" w:line="256" w:lineRule="auto"/>
        <w:ind w:firstLineChars="0"/>
        <w:textAlignment w:val="auto"/>
        <w:rPr>
          <w:rFonts w:eastAsia="Arial"/>
          <w:lang w:eastAsia="zh-CN"/>
        </w:rPr>
      </w:pPr>
      <w:r>
        <w:rPr>
          <w:rFonts w:eastAsia="Arial"/>
          <w:lang w:eastAsia="zh-CN"/>
        </w:rPr>
        <w:t xml:space="preserve">Figure 3 is a wideband plot of the same cases </w:t>
      </w:r>
      <w:r w:rsidR="00DF0D44">
        <w:rPr>
          <w:rFonts w:eastAsia="Arial"/>
          <w:lang w:eastAsia="zh-CN"/>
        </w:rPr>
        <w:t>as</w:t>
      </w:r>
      <w:r>
        <w:rPr>
          <w:rFonts w:eastAsia="Arial"/>
          <w:lang w:eastAsia="zh-CN"/>
        </w:rPr>
        <w:t xml:space="preserve"> Figure 1 including the harmonic 2 related IMDs</w:t>
      </w:r>
      <w:r w:rsidR="00B72AB5">
        <w:rPr>
          <w:rFonts w:eastAsia="Arial"/>
          <w:lang w:eastAsia="zh-CN"/>
        </w:rPr>
        <w:t>.</w:t>
      </w:r>
    </w:p>
    <w:p w14:paraId="24D30346" w14:textId="77777777" w:rsidR="00F81A95" w:rsidRPr="00F81A95" w:rsidRDefault="00F81A95" w:rsidP="00F81A95">
      <w:pPr>
        <w:overflowPunct/>
        <w:autoSpaceDE/>
        <w:autoSpaceDN/>
        <w:adjustRightInd/>
        <w:spacing w:after="0" w:line="256" w:lineRule="auto"/>
        <w:textAlignment w:val="auto"/>
        <w:rPr>
          <w:rFonts w:eastAsia="Arial"/>
          <w:lang w:eastAsia="zh-CN"/>
        </w:rPr>
      </w:pPr>
    </w:p>
    <w:p w14:paraId="562AA58C" w14:textId="7A0B7D5F" w:rsidR="00656915" w:rsidRDefault="00766B46" w:rsidP="00387458">
      <w:pPr>
        <w:keepNext/>
        <w:spacing w:after="0"/>
        <w:jc w:val="center"/>
      </w:pPr>
      <w:r>
        <w:rPr>
          <w:noProof/>
        </w:rPr>
        <w:lastRenderedPageBreak/>
        <w:drawing>
          <wp:inline distT="0" distB="0" distL="0" distR="0" wp14:anchorId="3210F9F4" wp14:editId="1327D4FC">
            <wp:extent cx="6623875" cy="2325200"/>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686075" cy="2347034"/>
                    </a:xfrm>
                    <a:prstGeom prst="rect">
                      <a:avLst/>
                    </a:prstGeom>
                    <a:noFill/>
                  </pic:spPr>
                </pic:pic>
              </a:graphicData>
            </a:graphic>
          </wp:inline>
        </w:drawing>
      </w:r>
    </w:p>
    <w:p w14:paraId="2252ED5D" w14:textId="3827134D" w:rsidR="00015662" w:rsidRDefault="00656915" w:rsidP="00656915">
      <w:pPr>
        <w:pStyle w:val="Caption"/>
      </w:pPr>
      <w:r>
        <w:t xml:space="preserve">Figure </w:t>
      </w:r>
      <w:r>
        <w:fldChar w:fldCharType="begin"/>
      </w:r>
      <w:r>
        <w:instrText xml:space="preserve"> SEQ Figure \* ARABIC </w:instrText>
      </w:r>
      <w:r>
        <w:fldChar w:fldCharType="separate"/>
      </w:r>
      <w:r w:rsidR="007B385C">
        <w:rPr>
          <w:noProof/>
        </w:rPr>
        <w:t>2</w:t>
      </w:r>
      <w:r>
        <w:fldChar w:fldCharType="end"/>
      </w:r>
      <w:r>
        <w:t>: Intra-band ULCA case</w:t>
      </w:r>
      <w:r w:rsidR="00766B46">
        <w:t>s at MPR0</w:t>
      </w:r>
      <w:r w:rsidR="00395893">
        <w:t xml:space="preserve"> (around carrier)</w:t>
      </w:r>
    </w:p>
    <w:p w14:paraId="1B3460BD" w14:textId="7D656F12" w:rsidR="00656915" w:rsidRPr="00E96CF7" w:rsidRDefault="00766B46" w:rsidP="00766B46">
      <w:pPr>
        <w:keepNext/>
        <w:spacing w:after="0"/>
        <w:jc w:val="center"/>
        <w:rPr>
          <w:lang w:val="en-US"/>
        </w:rPr>
      </w:pPr>
      <w:r>
        <w:rPr>
          <w:noProof/>
          <w:lang w:val="en-US"/>
        </w:rPr>
        <w:drawing>
          <wp:inline distT="0" distB="0" distL="0" distR="0" wp14:anchorId="215ABEC6" wp14:editId="4EFF1490">
            <wp:extent cx="3284524" cy="2300744"/>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15053" cy="2322129"/>
                    </a:xfrm>
                    <a:prstGeom prst="rect">
                      <a:avLst/>
                    </a:prstGeom>
                    <a:noFill/>
                  </pic:spPr>
                </pic:pic>
              </a:graphicData>
            </a:graphic>
          </wp:inline>
        </w:drawing>
      </w:r>
      <w:r>
        <w:rPr>
          <w:noProof/>
          <w:lang w:val="en-US"/>
        </w:rPr>
        <w:drawing>
          <wp:inline distT="0" distB="0" distL="0" distR="0" wp14:anchorId="2B9449ED" wp14:editId="144C69F9">
            <wp:extent cx="3284325" cy="230060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17065" cy="2323539"/>
                    </a:xfrm>
                    <a:prstGeom prst="rect">
                      <a:avLst/>
                    </a:prstGeom>
                    <a:noFill/>
                  </pic:spPr>
                </pic:pic>
              </a:graphicData>
            </a:graphic>
          </wp:inline>
        </w:drawing>
      </w:r>
    </w:p>
    <w:p w14:paraId="436FF80B" w14:textId="52F6F19B" w:rsidR="00656915" w:rsidRDefault="00656915" w:rsidP="00656915">
      <w:pPr>
        <w:pStyle w:val="Caption"/>
      </w:pPr>
      <w:r>
        <w:t xml:space="preserve">Figure </w:t>
      </w:r>
      <w:r>
        <w:fldChar w:fldCharType="begin"/>
      </w:r>
      <w:r>
        <w:instrText xml:space="preserve"> SEQ Figure \* ARABIC </w:instrText>
      </w:r>
      <w:r>
        <w:fldChar w:fldCharType="separate"/>
      </w:r>
      <w:r w:rsidR="007B385C">
        <w:rPr>
          <w:noProof/>
        </w:rPr>
        <w:t>3</w:t>
      </w:r>
      <w:r>
        <w:fldChar w:fldCharType="end"/>
      </w:r>
      <w:r>
        <w:t xml:space="preserve">: </w:t>
      </w:r>
      <w:r w:rsidR="00766B46">
        <w:t>Single CC</w:t>
      </w:r>
      <w:r>
        <w:t xml:space="preserve"> case</w:t>
      </w:r>
      <w:r w:rsidR="00766B46">
        <w:t>s at MPR0 with 28dB image (left) and 35dB image (right)</w:t>
      </w:r>
    </w:p>
    <w:p w14:paraId="460D254D" w14:textId="37D569B2" w:rsidR="00395893" w:rsidRDefault="00395893" w:rsidP="00395893">
      <w:pPr>
        <w:pStyle w:val="Caption"/>
      </w:pPr>
      <w:r>
        <w:rPr>
          <w:noProof/>
        </w:rPr>
        <w:drawing>
          <wp:inline distT="0" distB="0" distL="0" distR="0" wp14:anchorId="0F116FDD" wp14:editId="34A39371">
            <wp:extent cx="6607227" cy="2317638"/>
            <wp:effectExtent l="0" t="0" r="3175"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655622" cy="2334614"/>
                    </a:xfrm>
                    <a:prstGeom prst="rect">
                      <a:avLst/>
                    </a:prstGeom>
                    <a:noFill/>
                  </pic:spPr>
                </pic:pic>
              </a:graphicData>
            </a:graphic>
          </wp:inline>
        </w:drawing>
      </w:r>
      <w:r w:rsidRPr="00395893">
        <w:t xml:space="preserve"> </w:t>
      </w:r>
      <w:r>
        <w:t xml:space="preserve">Figure </w:t>
      </w:r>
      <w:r>
        <w:fldChar w:fldCharType="begin"/>
      </w:r>
      <w:r>
        <w:instrText xml:space="preserve"> SEQ Figure \* ARABIC </w:instrText>
      </w:r>
      <w:r>
        <w:fldChar w:fldCharType="separate"/>
      </w:r>
      <w:r w:rsidR="007B385C">
        <w:rPr>
          <w:noProof/>
        </w:rPr>
        <w:t>4</w:t>
      </w:r>
      <w:r>
        <w:fldChar w:fldCharType="end"/>
      </w:r>
      <w:r>
        <w:t>: Intra-band ULCA cases at MPR0 (carrier+H2)</w:t>
      </w:r>
    </w:p>
    <w:p w14:paraId="0C0FF1BB" w14:textId="4CC3873A" w:rsidR="00395893" w:rsidRDefault="009C27FD" w:rsidP="009C27FD">
      <w:pPr>
        <w:spacing w:after="0"/>
        <w:rPr>
          <w:b/>
          <w:bCs/>
          <w:lang w:val="en-US"/>
        </w:rPr>
      </w:pPr>
      <w:r w:rsidRPr="009C27FD">
        <w:rPr>
          <w:b/>
          <w:bCs/>
          <w:lang w:val="en-US"/>
        </w:rPr>
        <w:t>Observations</w:t>
      </w:r>
      <w:r w:rsidR="002E46A5">
        <w:rPr>
          <w:b/>
          <w:bCs/>
          <w:lang w:val="en-US"/>
        </w:rPr>
        <w:t xml:space="preserve"> at MPR0 for single CC and intra-band ULCA</w:t>
      </w:r>
      <w:r w:rsidRPr="009C27FD">
        <w:rPr>
          <w:b/>
          <w:bCs/>
          <w:lang w:val="en-US"/>
        </w:rPr>
        <w:t>:</w:t>
      </w:r>
    </w:p>
    <w:p w14:paraId="7DA8585E" w14:textId="40000E31" w:rsidR="009C27FD" w:rsidRDefault="009C27FD">
      <w:pPr>
        <w:pStyle w:val="ListParagraph"/>
        <w:numPr>
          <w:ilvl w:val="0"/>
          <w:numId w:val="27"/>
        </w:numPr>
        <w:spacing w:after="0"/>
        <w:ind w:firstLineChars="0"/>
        <w:rPr>
          <w:b/>
          <w:bCs/>
          <w:lang w:val="en-US"/>
        </w:rPr>
      </w:pPr>
      <w:r>
        <w:rPr>
          <w:b/>
          <w:bCs/>
          <w:lang w:val="en-US"/>
        </w:rPr>
        <w:t xml:space="preserve">The single CC IMDs of the RB allocation and its image decays very rapidly </w:t>
      </w:r>
      <w:r w:rsidR="00DF0D44">
        <w:rPr>
          <w:b/>
          <w:bCs/>
          <w:lang w:val="en-US"/>
        </w:rPr>
        <w:t>due</w:t>
      </w:r>
      <w:r>
        <w:rPr>
          <w:b/>
          <w:bCs/>
          <w:lang w:val="en-US"/>
        </w:rPr>
        <w:t xml:space="preserve"> to the large difference in levels between the two tones.</w:t>
      </w:r>
    </w:p>
    <w:p w14:paraId="6D6A5A60" w14:textId="1AD3A10B" w:rsidR="009C27FD" w:rsidRDefault="009C27FD">
      <w:pPr>
        <w:pStyle w:val="ListParagraph"/>
        <w:numPr>
          <w:ilvl w:val="1"/>
          <w:numId w:val="27"/>
        </w:numPr>
        <w:spacing w:after="0"/>
        <w:ind w:firstLineChars="0"/>
        <w:rPr>
          <w:b/>
          <w:bCs/>
          <w:lang w:val="en-US"/>
        </w:rPr>
      </w:pPr>
      <w:r>
        <w:rPr>
          <w:b/>
          <w:bCs/>
          <w:lang w:val="en-US"/>
        </w:rPr>
        <w:t>The decay is even faster with 35dB image compared to 28dB image</w:t>
      </w:r>
      <w:r w:rsidR="0054083F">
        <w:rPr>
          <w:b/>
          <w:bCs/>
          <w:lang w:val="en-US"/>
        </w:rPr>
        <w:t>,</w:t>
      </w:r>
      <w:r>
        <w:rPr>
          <w:b/>
          <w:bCs/>
          <w:lang w:val="en-US"/>
        </w:rPr>
        <w:t xml:space="preserve"> which means that the performance is not solely due to the PA but as a reaction of the tones due to the transceiver impairments at its input. Note that this is le</w:t>
      </w:r>
      <w:r w:rsidR="00DF0D44">
        <w:rPr>
          <w:b/>
          <w:bCs/>
          <w:lang w:val="en-US"/>
        </w:rPr>
        <w:t>s</w:t>
      </w:r>
      <w:r>
        <w:rPr>
          <w:b/>
          <w:bCs/>
          <w:lang w:val="en-US"/>
        </w:rPr>
        <w:t>s true for the fully allocated case but in this case CIM3 and CIM5 of the transceiver also have an impact.</w:t>
      </w:r>
    </w:p>
    <w:p w14:paraId="160CD044" w14:textId="30BBD823" w:rsidR="00224905" w:rsidRDefault="00224905">
      <w:pPr>
        <w:pStyle w:val="ListParagraph"/>
        <w:numPr>
          <w:ilvl w:val="1"/>
          <w:numId w:val="27"/>
        </w:numPr>
        <w:spacing w:after="0"/>
        <w:ind w:firstLineChars="0"/>
        <w:rPr>
          <w:b/>
          <w:bCs/>
          <w:lang w:val="en-US"/>
        </w:rPr>
      </w:pPr>
      <w:r>
        <w:rPr>
          <w:b/>
          <w:bCs/>
          <w:lang w:val="en-US"/>
        </w:rPr>
        <w:t>For fully allocated case the ACLR5 range is justified as above the noise floor.</w:t>
      </w:r>
    </w:p>
    <w:p w14:paraId="4B8E5EC7" w14:textId="2D19518C" w:rsidR="002E46A5" w:rsidRDefault="002E46A5">
      <w:pPr>
        <w:pStyle w:val="ListParagraph"/>
        <w:numPr>
          <w:ilvl w:val="1"/>
          <w:numId w:val="27"/>
        </w:numPr>
        <w:spacing w:after="0"/>
        <w:ind w:firstLineChars="0"/>
        <w:rPr>
          <w:b/>
          <w:bCs/>
          <w:lang w:val="en-US"/>
        </w:rPr>
      </w:pPr>
      <w:r>
        <w:rPr>
          <w:b/>
          <w:bCs/>
          <w:lang w:val="en-US"/>
        </w:rPr>
        <w:t>The frequency range to reach the noise floor is:</w:t>
      </w:r>
    </w:p>
    <w:p w14:paraId="3F5A3184" w14:textId="63825A00" w:rsidR="002E46A5" w:rsidRDefault="002E46A5">
      <w:pPr>
        <w:pStyle w:val="ListParagraph"/>
        <w:numPr>
          <w:ilvl w:val="2"/>
          <w:numId w:val="27"/>
        </w:numPr>
        <w:spacing w:after="0"/>
        <w:ind w:firstLineChars="0"/>
        <w:rPr>
          <w:b/>
          <w:bCs/>
          <w:lang w:val="en-US"/>
        </w:rPr>
      </w:pPr>
      <w:r>
        <w:rPr>
          <w:b/>
          <w:bCs/>
          <w:lang w:val="en-US"/>
        </w:rPr>
        <w:t>2.9-4GHz for the fully allocated case (used for crossband MSD for TDD)</w:t>
      </w:r>
    </w:p>
    <w:p w14:paraId="316A5891" w14:textId="6B2AB47A" w:rsidR="002E46A5" w:rsidRPr="002E46A5" w:rsidRDefault="002E46A5">
      <w:pPr>
        <w:pStyle w:val="ListParagraph"/>
        <w:numPr>
          <w:ilvl w:val="2"/>
          <w:numId w:val="27"/>
        </w:numPr>
        <w:spacing w:after="0"/>
        <w:ind w:firstLineChars="0"/>
        <w:rPr>
          <w:b/>
          <w:bCs/>
          <w:lang w:val="en-US"/>
        </w:rPr>
      </w:pPr>
      <w:r>
        <w:rPr>
          <w:b/>
          <w:bCs/>
          <w:lang w:val="en-US"/>
        </w:rPr>
        <w:t>3.2-3.7GHz for partial allocations</w:t>
      </w:r>
    </w:p>
    <w:p w14:paraId="6FA7CA1B" w14:textId="43D5DE6A" w:rsidR="009C27FD" w:rsidRDefault="009C27FD">
      <w:pPr>
        <w:pStyle w:val="ListParagraph"/>
        <w:numPr>
          <w:ilvl w:val="0"/>
          <w:numId w:val="27"/>
        </w:numPr>
        <w:spacing w:after="0"/>
        <w:ind w:firstLineChars="0"/>
        <w:rPr>
          <w:b/>
          <w:bCs/>
          <w:lang w:val="en-US"/>
        </w:rPr>
      </w:pPr>
      <w:r>
        <w:rPr>
          <w:b/>
          <w:bCs/>
          <w:lang w:val="en-US"/>
        </w:rPr>
        <w:t>In comparison the interference range of the ULCA case is huge</w:t>
      </w:r>
      <w:r w:rsidR="002E46A5">
        <w:rPr>
          <w:b/>
          <w:bCs/>
          <w:lang w:val="en-US"/>
        </w:rPr>
        <w:t xml:space="preserve"> and spans the entire 2-8GHz range before it reaches the noise floor. This is true for around the fundamental</w:t>
      </w:r>
      <w:r w:rsidR="0054083F">
        <w:rPr>
          <w:b/>
          <w:bCs/>
          <w:lang w:val="en-US"/>
        </w:rPr>
        <w:t>,</w:t>
      </w:r>
      <w:r w:rsidR="002E46A5">
        <w:rPr>
          <w:b/>
          <w:bCs/>
          <w:lang w:val="en-US"/>
        </w:rPr>
        <w:t xml:space="preserve"> but also around its second harmonic.</w:t>
      </w:r>
    </w:p>
    <w:p w14:paraId="11CA4028" w14:textId="2D0D3363" w:rsidR="002E46A5" w:rsidRDefault="002E46A5">
      <w:pPr>
        <w:pStyle w:val="ListParagraph"/>
        <w:numPr>
          <w:ilvl w:val="1"/>
          <w:numId w:val="27"/>
        </w:numPr>
        <w:spacing w:after="0"/>
        <w:ind w:firstLineChars="0"/>
        <w:rPr>
          <w:b/>
          <w:bCs/>
          <w:lang w:val="en-US"/>
        </w:rPr>
      </w:pPr>
      <w:r>
        <w:rPr>
          <w:b/>
          <w:bCs/>
          <w:lang w:val="en-US"/>
        </w:rPr>
        <w:t>The level is higher for smaller allocations.</w:t>
      </w:r>
    </w:p>
    <w:p w14:paraId="4CFD9868" w14:textId="217CC13D" w:rsidR="002E46A5" w:rsidRPr="00224905" w:rsidRDefault="00224905">
      <w:pPr>
        <w:pStyle w:val="ListParagraph"/>
        <w:numPr>
          <w:ilvl w:val="1"/>
          <w:numId w:val="27"/>
        </w:numPr>
        <w:spacing w:after="0"/>
        <w:ind w:firstLineChars="0"/>
        <w:rPr>
          <w:b/>
          <w:bCs/>
          <w:lang w:val="en-US"/>
        </w:rPr>
      </w:pPr>
      <w:r>
        <w:rPr>
          <w:b/>
          <w:bCs/>
          <w:lang w:val="en-US"/>
        </w:rPr>
        <w:lastRenderedPageBreak/>
        <w:t>For the 12RB+12RB case used for FDD intra-band ULCA, the IMD range &gt;IMD13 is justified.</w:t>
      </w:r>
    </w:p>
    <w:p w14:paraId="77D4E079" w14:textId="56CBA9C7" w:rsidR="00F81A95" w:rsidRDefault="00F81A95" w:rsidP="00F81A95">
      <w:pPr>
        <w:pStyle w:val="Heading2"/>
        <w:rPr>
          <w:rFonts w:eastAsia="Arial"/>
          <w:lang w:eastAsia="zh-CN"/>
        </w:rPr>
      </w:pPr>
      <w:r>
        <w:rPr>
          <w:rFonts w:eastAsia="Arial"/>
          <w:lang w:eastAsia="zh-CN"/>
        </w:rPr>
        <w:t>2.4 Measured interference at back-off needed to meet contiguous ULCA emissions.</w:t>
      </w:r>
    </w:p>
    <w:p w14:paraId="2AE89671" w14:textId="610B26F0" w:rsidR="00643EEC" w:rsidRDefault="00643EEC" w:rsidP="00643EEC">
      <w:pPr>
        <w:spacing w:after="0"/>
      </w:pPr>
      <w:r>
        <w:t>In order to assess the interference issue due to intra-band ULCA for different allocation in the intra-band contiguous ULCA case, the related interference is compared at the back-off needed to meet the intra-band contiguous ULCA emissions (ACLR and SEM).</w:t>
      </w:r>
      <w:r w:rsidR="002262EC">
        <w:t xml:space="preserve"> </w:t>
      </w:r>
      <w:r>
        <w:t>T</w:t>
      </w:r>
      <w:r w:rsidR="002262EC">
        <w:t>hi</w:t>
      </w:r>
      <w:r>
        <w:t>s is because in the current MSD framework due intra-band ULCA interference, MPR is assumed compared to single CC cases where no MPR is assumed:</w:t>
      </w:r>
    </w:p>
    <w:p w14:paraId="0B6BA285" w14:textId="6C1FB827" w:rsidR="00643EEC" w:rsidRDefault="00643EEC">
      <w:pPr>
        <w:pStyle w:val="ListParagraph"/>
        <w:numPr>
          <w:ilvl w:val="0"/>
          <w:numId w:val="26"/>
        </w:numPr>
        <w:spacing w:after="0"/>
        <w:ind w:firstLineChars="0"/>
      </w:pPr>
      <w:r>
        <w:t>Figure 5 covers the carrier region for the 4 intra-band contiguous ULCA cases</w:t>
      </w:r>
      <w:r w:rsidR="00B72AB5">
        <w:t>.</w:t>
      </w:r>
    </w:p>
    <w:p w14:paraId="2ACEAE7B" w14:textId="20688443" w:rsidR="00643EEC" w:rsidRPr="00643EEC" w:rsidRDefault="00643EEC">
      <w:pPr>
        <w:pStyle w:val="ListParagraph"/>
        <w:numPr>
          <w:ilvl w:val="0"/>
          <w:numId w:val="26"/>
        </w:numPr>
        <w:overflowPunct/>
        <w:autoSpaceDE/>
        <w:autoSpaceDN/>
        <w:adjustRightInd/>
        <w:spacing w:after="0" w:line="256" w:lineRule="auto"/>
        <w:ind w:firstLineChars="0"/>
        <w:textAlignment w:val="auto"/>
        <w:rPr>
          <w:rFonts w:eastAsia="Arial"/>
          <w:lang w:eastAsia="zh-CN"/>
        </w:rPr>
      </w:pPr>
      <w:r>
        <w:rPr>
          <w:rFonts w:eastAsia="Arial"/>
          <w:lang w:eastAsia="zh-CN"/>
        </w:rPr>
        <w:t xml:space="preserve">Figure </w:t>
      </w:r>
      <w:r w:rsidR="002262EC">
        <w:rPr>
          <w:rFonts w:eastAsia="Arial"/>
          <w:lang w:eastAsia="zh-CN"/>
        </w:rPr>
        <w:t>6</w:t>
      </w:r>
      <w:r>
        <w:rPr>
          <w:rFonts w:eastAsia="Arial"/>
          <w:lang w:eastAsia="zh-CN"/>
        </w:rPr>
        <w:t xml:space="preserve"> is a wideband plot of the same cases than Figure </w:t>
      </w:r>
      <w:r w:rsidR="002262EC">
        <w:rPr>
          <w:rFonts w:eastAsia="Arial"/>
          <w:lang w:eastAsia="zh-CN"/>
        </w:rPr>
        <w:t>5</w:t>
      </w:r>
      <w:r>
        <w:rPr>
          <w:rFonts w:eastAsia="Arial"/>
          <w:lang w:eastAsia="zh-CN"/>
        </w:rPr>
        <w:t xml:space="preserve"> including the harmonic 2 related IMDs</w:t>
      </w:r>
      <w:r w:rsidR="00B72AB5">
        <w:rPr>
          <w:rFonts w:eastAsia="Arial"/>
          <w:lang w:eastAsia="zh-CN"/>
        </w:rPr>
        <w:t>.</w:t>
      </w:r>
    </w:p>
    <w:p w14:paraId="331ADC36" w14:textId="287EDAB0" w:rsidR="00EE6AD3" w:rsidRPr="00F81A95" w:rsidRDefault="00EE6AD3" w:rsidP="00395893"/>
    <w:p w14:paraId="517D61B4" w14:textId="77777777" w:rsidR="00EE6AD3" w:rsidRDefault="00EE6AD3" w:rsidP="00EE6AD3">
      <w:pPr>
        <w:keepNext/>
      </w:pPr>
      <w:r>
        <w:rPr>
          <w:noProof/>
          <w:lang w:val="en-US"/>
        </w:rPr>
        <w:drawing>
          <wp:inline distT="0" distB="0" distL="0" distR="0" wp14:anchorId="47125F62" wp14:editId="2930BAEB">
            <wp:extent cx="6617808" cy="2324000"/>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82045" cy="2346558"/>
                    </a:xfrm>
                    <a:prstGeom prst="rect">
                      <a:avLst/>
                    </a:prstGeom>
                    <a:noFill/>
                  </pic:spPr>
                </pic:pic>
              </a:graphicData>
            </a:graphic>
          </wp:inline>
        </w:drawing>
      </w:r>
    </w:p>
    <w:p w14:paraId="259847F6" w14:textId="0D3EDB6D" w:rsidR="00EE6AD3" w:rsidRDefault="00EE6AD3" w:rsidP="00EE6AD3">
      <w:pPr>
        <w:pStyle w:val="Caption"/>
      </w:pPr>
      <w:r>
        <w:t xml:space="preserve">Figure </w:t>
      </w:r>
      <w:r>
        <w:fldChar w:fldCharType="begin"/>
      </w:r>
      <w:r>
        <w:instrText xml:space="preserve"> SEQ Figure \* ARABIC </w:instrText>
      </w:r>
      <w:r>
        <w:fldChar w:fldCharType="separate"/>
      </w:r>
      <w:r w:rsidR="007B385C">
        <w:rPr>
          <w:noProof/>
        </w:rPr>
        <w:t>5</w:t>
      </w:r>
      <w:r>
        <w:fldChar w:fldCharType="end"/>
      </w:r>
      <w:r>
        <w:t>: Intra-band ULCA cases at MPR for contiguous ULCA SEM/ACLR (around carrier)</w:t>
      </w:r>
    </w:p>
    <w:p w14:paraId="3D99A706" w14:textId="4AA95B6F" w:rsidR="00643EEC" w:rsidRDefault="00643EEC" w:rsidP="00643EEC">
      <w:pPr>
        <w:rPr>
          <w:lang w:val="en-US"/>
        </w:rPr>
      </w:pPr>
    </w:p>
    <w:p w14:paraId="14496BB0" w14:textId="42AD9462" w:rsidR="00EE6AD3" w:rsidRDefault="00EE6AD3" w:rsidP="00EE6AD3">
      <w:pPr>
        <w:rPr>
          <w:lang w:val="en-US"/>
        </w:rPr>
      </w:pPr>
      <w:r>
        <w:rPr>
          <w:noProof/>
          <w:lang w:val="en-US"/>
        </w:rPr>
        <w:drawing>
          <wp:inline distT="0" distB="0" distL="0" distR="0" wp14:anchorId="71E5F212" wp14:editId="2D7417EA">
            <wp:extent cx="6663067" cy="2337225"/>
            <wp:effectExtent l="0" t="0" r="444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720297" cy="2357300"/>
                    </a:xfrm>
                    <a:prstGeom prst="rect">
                      <a:avLst/>
                    </a:prstGeom>
                    <a:noFill/>
                  </pic:spPr>
                </pic:pic>
              </a:graphicData>
            </a:graphic>
          </wp:inline>
        </w:drawing>
      </w:r>
    </w:p>
    <w:p w14:paraId="24A67C33" w14:textId="7E5F412E" w:rsidR="00EE6AD3" w:rsidRDefault="00EE6AD3" w:rsidP="00EE6AD3">
      <w:pPr>
        <w:pStyle w:val="Caption"/>
      </w:pPr>
      <w:r>
        <w:t xml:space="preserve">Figure </w:t>
      </w:r>
      <w:r>
        <w:fldChar w:fldCharType="begin"/>
      </w:r>
      <w:r>
        <w:instrText xml:space="preserve"> SEQ Figure \* ARABIC </w:instrText>
      </w:r>
      <w:r>
        <w:fldChar w:fldCharType="separate"/>
      </w:r>
      <w:r w:rsidR="007B385C">
        <w:rPr>
          <w:noProof/>
        </w:rPr>
        <w:t>6</w:t>
      </w:r>
      <w:r>
        <w:fldChar w:fldCharType="end"/>
      </w:r>
      <w:r>
        <w:t>: Intra-band ULCA cases at MPR for contiguous ULCA SEM/ACLR (carrier+H2)</w:t>
      </w:r>
    </w:p>
    <w:p w14:paraId="33ADA1C5" w14:textId="13C3CCC3" w:rsidR="002E46A5" w:rsidRDefault="002E46A5" w:rsidP="002E46A5">
      <w:pPr>
        <w:spacing w:after="0"/>
        <w:rPr>
          <w:b/>
          <w:bCs/>
          <w:lang w:val="en-US"/>
        </w:rPr>
      </w:pPr>
      <w:r w:rsidRPr="009C27FD">
        <w:rPr>
          <w:b/>
          <w:bCs/>
          <w:lang w:val="en-US"/>
        </w:rPr>
        <w:t>Observations</w:t>
      </w:r>
      <w:r w:rsidRPr="002E46A5">
        <w:rPr>
          <w:b/>
          <w:bCs/>
          <w:lang w:val="en-US"/>
        </w:rPr>
        <w:t xml:space="preserve"> </w:t>
      </w:r>
      <w:r>
        <w:rPr>
          <w:b/>
          <w:bCs/>
          <w:lang w:val="en-US"/>
        </w:rPr>
        <w:t xml:space="preserve">at </w:t>
      </w:r>
      <w:r w:rsidR="00224905">
        <w:rPr>
          <w:b/>
          <w:bCs/>
          <w:lang w:val="en-US"/>
        </w:rPr>
        <w:t>MPR for</w:t>
      </w:r>
      <w:r>
        <w:rPr>
          <w:b/>
          <w:bCs/>
          <w:lang w:val="en-US"/>
        </w:rPr>
        <w:t xml:space="preserve"> intra-band </w:t>
      </w:r>
      <w:r w:rsidR="00224905">
        <w:rPr>
          <w:b/>
          <w:bCs/>
          <w:lang w:val="en-US"/>
        </w:rPr>
        <w:t xml:space="preserve">contiguous </w:t>
      </w:r>
      <w:r>
        <w:rPr>
          <w:b/>
          <w:bCs/>
          <w:lang w:val="en-US"/>
        </w:rPr>
        <w:t>ULCA</w:t>
      </w:r>
      <w:r w:rsidRPr="009C27FD">
        <w:rPr>
          <w:b/>
          <w:bCs/>
          <w:lang w:val="en-US"/>
        </w:rPr>
        <w:t>:</w:t>
      </w:r>
    </w:p>
    <w:p w14:paraId="3B05406C" w14:textId="68F2635D" w:rsidR="00224905" w:rsidRDefault="002E46A5">
      <w:pPr>
        <w:pStyle w:val="ListParagraph"/>
        <w:numPr>
          <w:ilvl w:val="0"/>
          <w:numId w:val="27"/>
        </w:numPr>
        <w:spacing w:after="0"/>
        <w:ind w:firstLineChars="0"/>
        <w:rPr>
          <w:b/>
          <w:bCs/>
          <w:lang w:val="en-US"/>
        </w:rPr>
      </w:pPr>
      <w:r>
        <w:rPr>
          <w:b/>
          <w:bCs/>
          <w:lang w:val="en-US"/>
        </w:rPr>
        <w:t xml:space="preserve">In comparison </w:t>
      </w:r>
      <w:r w:rsidR="00224905">
        <w:rPr>
          <w:b/>
          <w:bCs/>
          <w:lang w:val="en-US"/>
        </w:rPr>
        <w:t>to the MPR0 case, the interference range is significantly reduced. Justifying the IMD7/9 range currently assumed for intra-band contiguous ULCA MSD for TDD bands.</w:t>
      </w:r>
    </w:p>
    <w:p w14:paraId="530D1159" w14:textId="1A5771FC" w:rsidR="00224905" w:rsidRDefault="00224905">
      <w:pPr>
        <w:pStyle w:val="ListParagraph"/>
        <w:numPr>
          <w:ilvl w:val="0"/>
          <w:numId w:val="27"/>
        </w:numPr>
        <w:spacing w:after="0"/>
        <w:ind w:firstLineChars="0"/>
        <w:rPr>
          <w:b/>
          <w:bCs/>
          <w:lang w:val="en-US"/>
        </w:rPr>
      </w:pPr>
      <w:r>
        <w:rPr>
          <w:b/>
          <w:bCs/>
          <w:lang w:val="en-US"/>
        </w:rPr>
        <w:t>The 3 largest allocations need 3dB back-off to meet ACLR and S</w:t>
      </w:r>
      <w:r w:rsidR="00B72AB5">
        <w:rPr>
          <w:b/>
          <w:bCs/>
          <w:lang w:val="en-US"/>
        </w:rPr>
        <w:t>EM</w:t>
      </w:r>
      <w:r>
        <w:rPr>
          <w:b/>
          <w:bCs/>
          <w:lang w:val="en-US"/>
        </w:rPr>
        <w:t xml:space="preserve"> while the 1RB+1RB at 5dB MPR is only dictated by SEM giving a known and localized interference level based on IMD decay vs IND3 (-13dBm/MHz) and IMD5 (-30dBm/MHz)</w:t>
      </w:r>
    </w:p>
    <w:p w14:paraId="52F43327" w14:textId="3BF5E533" w:rsidR="00B72AB5" w:rsidRPr="00B72AB5" w:rsidRDefault="00224905">
      <w:pPr>
        <w:pStyle w:val="ListParagraph"/>
        <w:numPr>
          <w:ilvl w:val="0"/>
          <w:numId w:val="27"/>
        </w:numPr>
        <w:spacing w:after="0"/>
        <w:ind w:firstLineChars="0"/>
        <w:rPr>
          <w:lang w:val="en-US"/>
        </w:rPr>
      </w:pPr>
      <w:r>
        <w:rPr>
          <w:b/>
          <w:bCs/>
          <w:lang w:val="en-US"/>
        </w:rPr>
        <w:t>While the interference level is slightly larger for the 1RB+1RB compared to the fully allocated case, it would be comparable if maximum separation would not be used.</w:t>
      </w:r>
      <w:r w:rsidR="00B72AB5">
        <w:rPr>
          <w:b/>
          <w:bCs/>
          <w:lang w:val="en-US"/>
        </w:rPr>
        <w:t xml:space="preserve"> Also, it has a smaller interference range than the fully allocated MPR0 case.</w:t>
      </w:r>
    </w:p>
    <w:p w14:paraId="3F8CF31C" w14:textId="22861778" w:rsidR="00643EEC" w:rsidRDefault="00B72AB5">
      <w:pPr>
        <w:pStyle w:val="ListParagraph"/>
        <w:numPr>
          <w:ilvl w:val="0"/>
          <w:numId w:val="27"/>
        </w:numPr>
        <w:spacing w:after="0"/>
        <w:ind w:firstLineChars="0"/>
        <w:rPr>
          <w:lang w:val="en-US"/>
        </w:rPr>
      </w:pPr>
      <w:r>
        <w:rPr>
          <w:b/>
          <w:bCs/>
          <w:lang w:val="en-US"/>
        </w:rPr>
        <w:t>The H2 region level is also reduced below -30dBm/MHz, justifying it can only be a concern for MSD (no coex or spurious issue).</w:t>
      </w:r>
    </w:p>
    <w:p w14:paraId="15169C4F" w14:textId="4FA68C28" w:rsidR="00643EEC" w:rsidRPr="00643EEC" w:rsidRDefault="00643EEC" w:rsidP="00643EEC">
      <w:pPr>
        <w:pStyle w:val="Heading2"/>
        <w:rPr>
          <w:rFonts w:eastAsia="Arial"/>
          <w:lang w:eastAsia="zh-CN"/>
        </w:rPr>
      </w:pPr>
      <w:r>
        <w:rPr>
          <w:rFonts w:eastAsia="Arial"/>
          <w:lang w:eastAsia="zh-CN"/>
        </w:rPr>
        <w:lastRenderedPageBreak/>
        <w:t>2.</w:t>
      </w:r>
      <w:r w:rsidR="002262EC">
        <w:rPr>
          <w:rFonts w:eastAsia="Arial"/>
          <w:lang w:eastAsia="zh-CN"/>
        </w:rPr>
        <w:t>5</w:t>
      </w:r>
      <w:r>
        <w:rPr>
          <w:rFonts w:eastAsia="Arial"/>
          <w:lang w:eastAsia="zh-CN"/>
        </w:rPr>
        <w:t xml:space="preserve"> Measured interference at back-off needed to meet non-contiguous ULCA emissions.</w:t>
      </w:r>
    </w:p>
    <w:p w14:paraId="6AAD4F87" w14:textId="1057136A" w:rsidR="002262EC" w:rsidRDefault="002262EC" w:rsidP="002262EC">
      <w:pPr>
        <w:spacing w:after="0"/>
      </w:pPr>
      <w:r>
        <w:t>In order to assess the interference issue due to intra-band ULCA for different allocation in the intra-band non-contiguous ULCA case, the related interference is compared at the back-off needed to meet the intra-band contiguous ULCA emissions (ACLR and SEM). This is because in the current MSD framework due intra-band ULCA interference, MPR is assumed compared to single CC cases where no MPR is assumed:</w:t>
      </w:r>
    </w:p>
    <w:p w14:paraId="15D0D12D" w14:textId="50F118BB" w:rsidR="002262EC" w:rsidRDefault="002262EC">
      <w:pPr>
        <w:pStyle w:val="ListParagraph"/>
        <w:numPr>
          <w:ilvl w:val="0"/>
          <w:numId w:val="26"/>
        </w:numPr>
        <w:spacing w:after="0"/>
        <w:ind w:firstLineChars="0"/>
      </w:pPr>
      <w:r>
        <w:t>Figure 7 covers the carrier region for the 3 intra-band non-contiguous ULCA cases assuming a 40MHz+40MHz case with 80-MHz gap</w:t>
      </w:r>
      <w:r w:rsidR="0054083F">
        <w:t>.</w:t>
      </w:r>
    </w:p>
    <w:p w14:paraId="06F56ABE" w14:textId="602A46F5" w:rsidR="002262EC" w:rsidRPr="00643EEC" w:rsidRDefault="002262EC">
      <w:pPr>
        <w:pStyle w:val="ListParagraph"/>
        <w:numPr>
          <w:ilvl w:val="0"/>
          <w:numId w:val="26"/>
        </w:numPr>
        <w:overflowPunct/>
        <w:autoSpaceDE/>
        <w:autoSpaceDN/>
        <w:adjustRightInd/>
        <w:spacing w:after="0" w:line="256" w:lineRule="auto"/>
        <w:ind w:firstLineChars="0"/>
        <w:textAlignment w:val="auto"/>
        <w:rPr>
          <w:rFonts w:eastAsia="Arial"/>
          <w:lang w:eastAsia="zh-CN"/>
        </w:rPr>
      </w:pPr>
      <w:r>
        <w:rPr>
          <w:rFonts w:eastAsia="Arial"/>
          <w:lang w:eastAsia="zh-CN"/>
        </w:rPr>
        <w:t xml:space="preserve">Figure 8 is a wideband plot of the same cases </w:t>
      </w:r>
      <w:r w:rsidR="0054083F">
        <w:rPr>
          <w:rFonts w:eastAsia="Arial"/>
          <w:lang w:eastAsia="zh-CN"/>
        </w:rPr>
        <w:t>as in</w:t>
      </w:r>
      <w:r>
        <w:rPr>
          <w:rFonts w:eastAsia="Arial"/>
          <w:lang w:eastAsia="zh-CN"/>
        </w:rPr>
        <w:t xml:space="preserve"> Figure 5 including the harmonic 2 related IMDs</w:t>
      </w:r>
      <w:r w:rsidR="00B72AB5">
        <w:rPr>
          <w:rFonts w:eastAsia="Arial"/>
          <w:lang w:eastAsia="zh-CN"/>
        </w:rPr>
        <w:t>.</w:t>
      </w:r>
    </w:p>
    <w:p w14:paraId="3929D67F" w14:textId="77777777" w:rsidR="00643EEC" w:rsidRPr="00643EEC" w:rsidRDefault="00643EEC" w:rsidP="00B72AB5">
      <w:pPr>
        <w:spacing w:after="0"/>
      </w:pPr>
    </w:p>
    <w:p w14:paraId="485BA3F3" w14:textId="578EB474" w:rsidR="00EE6AD3" w:rsidRPr="00EE6AD3" w:rsidRDefault="00EE6AD3" w:rsidP="00EE6AD3">
      <w:pPr>
        <w:rPr>
          <w:lang w:val="en-US"/>
        </w:rPr>
      </w:pPr>
      <w:r>
        <w:rPr>
          <w:noProof/>
          <w:lang w:val="en-US"/>
        </w:rPr>
        <w:drawing>
          <wp:inline distT="0" distB="0" distL="0" distR="0" wp14:anchorId="1D1F7958" wp14:editId="40B58BC3">
            <wp:extent cx="6638106" cy="233112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697265" cy="2351904"/>
                    </a:xfrm>
                    <a:prstGeom prst="rect">
                      <a:avLst/>
                    </a:prstGeom>
                    <a:noFill/>
                  </pic:spPr>
                </pic:pic>
              </a:graphicData>
            </a:graphic>
          </wp:inline>
        </w:drawing>
      </w:r>
    </w:p>
    <w:p w14:paraId="36492E5D" w14:textId="6EFB1F63" w:rsidR="00EE6AD3" w:rsidRDefault="00EE6AD3" w:rsidP="00EE6AD3">
      <w:pPr>
        <w:pStyle w:val="Caption"/>
      </w:pPr>
      <w:r>
        <w:t xml:space="preserve">Figure </w:t>
      </w:r>
      <w:r>
        <w:fldChar w:fldCharType="begin"/>
      </w:r>
      <w:r>
        <w:instrText xml:space="preserve"> SEQ Figure \* ARABIC </w:instrText>
      </w:r>
      <w:r>
        <w:fldChar w:fldCharType="separate"/>
      </w:r>
      <w:r w:rsidR="007B385C">
        <w:rPr>
          <w:noProof/>
        </w:rPr>
        <w:t>7</w:t>
      </w:r>
      <w:r>
        <w:fldChar w:fldCharType="end"/>
      </w:r>
      <w:r>
        <w:t>: Intra-band ULCA cases at MPR for non-contiguous ULCA SEM/ACLR (around carrier)</w:t>
      </w:r>
    </w:p>
    <w:p w14:paraId="0AE95BF8" w14:textId="040A049C" w:rsidR="00EE6AD3" w:rsidRPr="00EE6AD3" w:rsidRDefault="00EE6AD3" w:rsidP="00EE6AD3">
      <w:pPr>
        <w:rPr>
          <w:lang w:val="en-US"/>
        </w:rPr>
      </w:pPr>
      <w:r>
        <w:rPr>
          <w:noProof/>
          <w:lang w:val="en-US"/>
        </w:rPr>
        <w:drawing>
          <wp:inline distT="0" distB="0" distL="0" distR="0" wp14:anchorId="2136318F" wp14:editId="09E2DC1F">
            <wp:extent cx="6624679" cy="2323760"/>
            <wp:effectExtent l="0" t="0" r="508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683981" cy="2344562"/>
                    </a:xfrm>
                    <a:prstGeom prst="rect">
                      <a:avLst/>
                    </a:prstGeom>
                    <a:noFill/>
                  </pic:spPr>
                </pic:pic>
              </a:graphicData>
            </a:graphic>
          </wp:inline>
        </w:drawing>
      </w:r>
    </w:p>
    <w:p w14:paraId="666A1FD5" w14:textId="22D9E55C" w:rsidR="00EE6AD3" w:rsidRDefault="00EE6AD3" w:rsidP="00EE6AD3">
      <w:pPr>
        <w:pStyle w:val="Caption"/>
      </w:pPr>
      <w:r>
        <w:t xml:space="preserve">Figure </w:t>
      </w:r>
      <w:r>
        <w:fldChar w:fldCharType="begin"/>
      </w:r>
      <w:r>
        <w:instrText xml:space="preserve"> SEQ Figure \* ARABIC </w:instrText>
      </w:r>
      <w:r>
        <w:fldChar w:fldCharType="separate"/>
      </w:r>
      <w:r w:rsidR="007B385C">
        <w:rPr>
          <w:noProof/>
        </w:rPr>
        <w:t>8</w:t>
      </w:r>
      <w:r>
        <w:fldChar w:fldCharType="end"/>
      </w:r>
      <w:r>
        <w:t>: Intra-band ULCA cases at MPR for non-contiguous ULCA SEM/ACLR (carrier+H2)</w:t>
      </w:r>
    </w:p>
    <w:p w14:paraId="2A6628A1" w14:textId="60D6A37C" w:rsidR="00B72AB5" w:rsidRDefault="00B72AB5" w:rsidP="00B72AB5">
      <w:pPr>
        <w:spacing w:after="0"/>
        <w:rPr>
          <w:b/>
          <w:bCs/>
          <w:lang w:val="en-US"/>
        </w:rPr>
      </w:pPr>
      <w:r w:rsidRPr="009C27FD">
        <w:rPr>
          <w:b/>
          <w:bCs/>
          <w:lang w:val="en-US"/>
        </w:rPr>
        <w:t>Observations</w:t>
      </w:r>
      <w:r w:rsidRPr="002E46A5">
        <w:rPr>
          <w:b/>
          <w:bCs/>
          <w:lang w:val="en-US"/>
        </w:rPr>
        <w:t xml:space="preserve"> </w:t>
      </w:r>
      <w:r>
        <w:rPr>
          <w:b/>
          <w:bCs/>
          <w:lang w:val="en-US"/>
        </w:rPr>
        <w:t>at MPR for intra-band non-contiguous ULCA</w:t>
      </w:r>
      <w:r w:rsidRPr="009C27FD">
        <w:rPr>
          <w:b/>
          <w:bCs/>
          <w:lang w:val="en-US"/>
        </w:rPr>
        <w:t>:</w:t>
      </w:r>
    </w:p>
    <w:p w14:paraId="2C3161BC" w14:textId="2FC1E2FB" w:rsidR="00B72AB5" w:rsidRDefault="00B72AB5">
      <w:pPr>
        <w:pStyle w:val="ListParagraph"/>
        <w:numPr>
          <w:ilvl w:val="0"/>
          <w:numId w:val="27"/>
        </w:numPr>
        <w:spacing w:after="0"/>
        <w:ind w:firstLineChars="0"/>
        <w:rPr>
          <w:b/>
          <w:bCs/>
          <w:lang w:val="en-US"/>
        </w:rPr>
      </w:pPr>
      <w:r>
        <w:rPr>
          <w:b/>
          <w:bCs/>
          <w:lang w:val="en-US"/>
        </w:rPr>
        <w:t>In comparison to the MPR0 case and the contiguous ULCA MPR case, the interference range is significantly reduced. Justifying the IMD7/9 range currently assumed for intra-band contiguous ULCA MSD for TDD bands.</w:t>
      </w:r>
    </w:p>
    <w:p w14:paraId="7D7F3A71" w14:textId="561D075C" w:rsidR="00B72AB5" w:rsidRDefault="00B72AB5">
      <w:pPr>
        <w:pStyle w:val="ListParagraph"/>
        <w:numPr>
          <w:ilvl w:val="0"/>
          <w:numId w:val="27"/>
        </w:numPr>
        <w:spacing w:after="0"/>
        <w:ind w:firstLineChars="0"/>
        <w:rPr>
          <w:b/>
          <w:bCs/>
          <w:lang w:val="en-US"/>
        </w:rPr>
      </w:pPr>
      <w:r>
        <w:rPr>
          <w:b/>
          <w:bCs/>
          <w:lang w:val="en-US"/>
        </w:rPr>
        <w:t>To meet SEM, the Full+Full allocations need 4dB back-off, and the 1RB+1RB at 8dB MPR. The later giving a known and localized interference level based on IMD decay vs IMD3 (-30dBm/MHz).</w:t>
      </w:r>
    </w:p>
    <w:p w14:paraId="14F1F664" w14:textId="48A468D2" w:rsidR="00B72AB5" w:rsidRPr="00B72AB5" w:rsidRDefault="00B72AB5">
      <w:pPr>
        <w:pStyle w:val="ListParagraph"/>
        <w:numPr>
          <w:ilvl w:val="0"/>
          <w:numId w:val="27"/>
        </w:numPr>
        <w:spacing w:after="0"/>
        <w:ind w:firstLineChars="0"/>
        <w:rPr>
          <w:lang w:val="en-US"/>
        </w:rPr>
      </w:pPr>
      <w:r>
        <w:rPr>
          <w:b/>
          <w:bCs/>
          <w:lang w:val="en-US"/>
        </w:rPr>
        <w:t xml:space="preserve">While the interference level is slightly larger for the 1RB+1RB compared to the fully allocated case, it has a similar interference range </w:t>
      </w:r>
      <w:r w:rsidR="0054083F">
        <w:rPr>
          <w:b/>
          <w:bCs/>
          <w:lang w:val="en-US"/>
        </w:rPr>
        <w:t>as</w:t>
      </w:r>
      <w:r>
        <w:rPr>
          <w:b/>
          <w:bCs/>
          <w:lang w:val="en-US"/>
        </w:rPr>
        <w:t xml:space="preserve"> the fully allocated case.</w:t>
      </w:r>
    </w:p>
    <w:p w14:paraId="21861F30" w14:textId="27D1F0C4" w:rsidR="00B72AB5" w:rsidRDefault="00B72AB5">
      <w:pPr>
        <w:pStyle w:val="ListParagraph"/>
        <w:numPr>
          <w:ilvl w:val="0"/>
          <w:numId w:val="27"/>
        </w:numPr>
        <w:spacing w:after="0"/>
        <w:ind w:firstLineChars="0"/>
        <w:rPr>
          <w:lang w:val="en-US"/>
        </w:rPr>
      </w:pPr>
      <w:r>
        <w:rPr>
          <w:b/>
          <w:bCs/>
          <w:lang w:val="en-US"/>
        </w:rPr>
        <w:t>The H2 region level is also further reduced below -30dBm/MHz, justifying it can only be a concern for MSD (no coex or spurious issue).</w:t>
      </w:r>
    </w:p>
    <w:p w14:paraId="3F9DF8FF" w14:textId="77777777" w:rsidR="00B72AB5" w:rsidRPr="00B72AB5" w:rsidRDefault="00B72AB5" w:rsidP="00B72AB5">
      <w:pPr>
        <w:rPr>
          <w:lang w:val="en-US"/>
        </w:rPr>
      </w:pPr>
    </w:p>
    <w:p w14:paraId="4AC91E58" w14:textId="5F27BB4E" w:rsidR="009C5C4D" w:rsidRPr="00643EEC" w:rsidRDefault="009C5C4D" w:rsidP="009C5C4D">
      <w:pPr>
        <w:pStyle w:val="Heading2"/>
        <w:rPr>
          <w:rFonts w:eastAsia="Arial"/>
          <w:lang w:eastAsia="zh-CN"/>
        </w:rPr>
      </w:pPr>
      <w:r>
        <w:rPr>
          <w:rFonts w:eastAsia="Arial"/>
          <w:lang w:eastAsia="zh-CN"/>
        </w:rPr>
        <w:t>2.5 Detailed analysis of the results.</w:t>
      </w:r>
    </w:p>
    <w:p w14:paraId="180CEAB1" w14:textId="2B8BFE23" w:rsidR="009C5C4D" w:rsidRDefault="00CF4EDE" w:rsidP="00CF4EDE">
      <w:pPr>
        <w:spacing w:after="0"/>
      </w:pPr>
      <w:r>
        <w:t>To better anal</w:t>
      </w:r>
      <w:r w:rsidR="0054083F">
        <w:t>yz</w:t>
      </w:r>
      <w:r>
        <w:t>e the different measured cases, Table 1 provides the interference range in MHz and x time of signal BW for a number of emission limits:</w:t>
      </w:r>
    </w:p>
    <w:p w14:paraId="1170D22A" w14:textId="50BC6520" w:rsidR="00CF4EDE" w:rsidRDefault="00CF4EDE">
      <w:pPr>
        <w:pStyle w:val="ListParagraph"/>
        <w:numPr>
          <w:ilvl w:val="0"/>
          <w:numId w:val="28"/>
        </w:numPr>
        <w:spacing w:after="0"/>
        <w:ind w:firstLineChars="0"/>
      </w:pPr>
      <w:r>
        <w:t>-13dBm/MHz: ACLR1 region SEM</w:t>
      </w:r>
    </w:p>
    <w:p w14:paraId="66806FA3" w14:textId="5AE9BAA3" w:rsidR="0076082A" w:rsidRDefault="0076082A">
      <w:pPr>
        <w:pStyle w:val="ListParagraph"/>
        <w:numPr>
          <w:ilvl w:val="0"/>
          <w:numId w:val="28"/>
        </w:numPr>
        <w:spacing w:after="0"/>
        <w:ind w:firstLineChars="0"/>
      </w:pPr>
      <w:r>
        <w:t>-20dBm/MHz: level for -50dBm/MHz coexistence with other bands assuming 30dB RF rejection in the front end</w:t>
      </w:r>
    </w:p>
    <w:p w14:paraId="0AB85DED" w14:textId="22C4D95A" w:rsidR="0076082A" w:rsidRDefault="0076082A">
      <w:pPr>
        <w:pStyle w:val="ListParagraph"/>
        <w:numPr>
          <w:ilvl w:val="0"/>
          <w:numId w:val="28"/>
        </w:numPr>
        <w:spacing w:after="0"/>
        <w:ind w:firstLineChars="0"/>
      </w:pPr>
      <w:r>
        <w:lastRenderedPageBreak/>
        <w:t>-30dBm/MHz: SEM + spurious beyond ACLR1 region, this level would also correspond to a ~20dB desense of a 5MHz DL channel assuming 50dB RF rejection</w:t>
      </w:r>
    </w:p>
    <w:p w14:paraId="620C5187" w14:textId="56CF98CE" w:rsidR="0076082A" w:rsidRDefault="0076082A">
      <w:pPr>
        <w:pStyle w:val="ListParagraph"/>
        <w:numPr>
          <w:ilvl w:val="0"/>
          <w:numId w:val="28"/>
        </w:numPr>
        <w:spacing w:after="0"/>
        <w:ind w:firstLineChars="0"/>
      </w:pPr>
      <w:r>
        <w:t>-45dBm/MHz: this level would correspond to a ~3dB desense of a 5MHz DL channel assuming 50dB RF rejection</w:t>
      </w:r>
    </w:p>
    <w:p w14:paraId="4D049DB5" w14:textId="56818D17" w:rsidR="0076082A" w:rsidRDefault="0076082A">
      <w:pPr>
        <w:pStyle w:val="ListParagraph"/>
        <w:numPr>
          <w:ilvl w:val="0"/>
          <w:numId w:val="28"/>
        </w:numPr>
        <w:spacing w:after="0"/>
        <w:ind w:firstLineChars="0"/>
      </w:pPr>
      <w:r>
        <w:t>-55dBm/MHz: this level would correspond to no desense of a 5MHz DL channel assuming 50dB RF rejection</w:t>
      </w:r>
    </w:p>
    <w:p w14:paraId="1EA3F6DF" w14:textId="1D252D3A" w:rsidR="00CF4EDE" w:rsidRDefault="00CF4EDE" w:rsidP="00CF4EDE">
      <w:pPr>
        <w:spacing w:after="0"/>
      </w:pPr>
    </w:p>
    <w:p w14:paraId="3644D560" w14:textId="232535E6" w:rsidR="0076082A" w:rsidRDefault="0076082A" w:rsidP="00CF4EDE">
      <w:pPr>
        <w:spacing w:after="0"/>
      </w:pPr>
      <w:r>
        <w:t>Some of cases are highlighted as they correspond to existing or suggested conditions for MSD calculations.</w:t>
      </w:r>
    </w:p>
    <w:p w14:paraId="65919038" w14:textId="33FC3493" w:rsidR="0076082A" w:rsidRDefault="0076082A">
      <w:pPr>
        <w:pStyle w:val="ListParagraph"/>
        <w:numPr>
          <w:ilvl w:val="0"/>
          <w:numId w:val="29"/>
        </w:numPr>
        <w:spacing w:after="0"/>
        <w:ind w:firstLineChars="0"/>
      </w:pPr>
      <w:r>
        <w:t xml:space="preserve">Fully allocated single CC without MPR (first </w:t>
      </w:r>
      <w:r w:rsidR="003C5358">
        <w:t xml:space="preserve">light </w:t>
      </w:r>
      <w:r>
        <w:t>green row) is assumed for cross-band MSD TDD UL configuration</w:t>
      </w:r>
    </w:p>
    <w:p w14:paraId="4E8722D9" w14:textId="5738F20F" w:rsidR="0076082A" w:rsidRDefault="0076082A">
      <w:pPr>
        <w:pStyle w:val="ListParagraph"/>
        <w:numPr>
          <w:ilvl w:val="0"/>
          <w:numId w:val="29"/>
        </w:numPr>
        <w:spacing w:after="0"/>
        <w:ind w:firstLineChars="0"/>
      </w:pPr>
      <w:r>
        <w:t xml:space="preserve">~12RB single CC without MPR (second </w:t>
      </w:r>
      <w:r w:rsidR="003C5358">
        <w:t xml:space="preserve">dark </w:t>
      </w:r>
      <w:r>
        <w:t>green row) is assumed for cross-band MSD FDD UL configuration</w:t>
      </w:r>
    </w:p>
    <w:p w14:paraId="5ADDDE53" w14:textId="6E615E10" w:rsidR="0076082A" w:rsidRDefault="0076082A">
      <w:pPr>
        <w:pStyle w:val="ListParagraph"/>
        <w:numPr>
          <w:ilvl w:val="0"/>
          <w:numId w:val="29"/>
        </w:numPr>
        <w:spacing w:after="0"/>
        <w:ind w:firstLineChars="0"/>
      </w:pPr>
      <w:r>
        <w:t xml:space="preserve">The green </w:t>
      </w:r>
      <w:r w:rsidR="003C5358">
        <w:t xml:space="preserve">forth </w:t>
      </w:r>
      <w:r>
        <w:t xml:space="preserve">row </w:t>
      </w:r>
      <w:r w:rsidR="003C5358">
        <w:t>is also for 12RB but with improved TRX impairments (image)</w:t>
      </w:r>
    </w:p>
    <w:p w14:paraId="342C42AC" w14:textId="4D09361F" w:rsidR="003C5358" w:rsidRDefault="003C5358">
      <w:pPr>
        <w:pStyle w:val="ListParagraph"/>
        <w:numPr>
          <w:ilvl w:val="0"/>
          <w:numId w:val="29"/>
        </w:numPr>
        <w:spacing w:after="0"/>
        <w:ind w:firstLineChars="0"/>
      </w:pPr>
      <w:r>
        <w:t>The yellow rows (6</w:t>
      </w:r>
      <w:r w:rsidRPr="003C5358">
        <w:rPr>
          <w:vertAlign w:val="superscript"/>
        </w:rPr>
        <w:t>th</w:t>
      </w:r>
      <w:r>
        <w:rPr>
          <w:vertAlign w:val="superscript"/>
        </w:rPr>
        <w:t xml:space="preserve"> </w:t>
      </w:r>
      <w:r>
        <w:t xml:space="preserve">and </w:t>
      </w:r>
      <w:r w:rsidR="00925E38">
        <w:t>10</w:t>
      </w:r>
      <w:r w:rsidR="00925E38" w:rsidRPr="00925E38">
        <w:rPr>
          <w:vertAlign w:val="superscript"/>
        </w:rPr>
        <w:t>th</w:t>
      </w:r>
      <w:r w:rsidR="00925E38">
        <w:t>)</w:t>
      </w:r>
      <w:r>
        <w:t xml:space="preserve">, </w:t>
      </w:r>
      <w:r w:rsidR="00925E38">
        <w:t>f</w:t>
      </w:r>
      <w:r>
        <w:t>ully allocated ULCA without MPR was suggested as the new UL configuration for contiguous ULCA.</w:t>
      </w:r>
    </w:p>
    <w:p w14:paraId="1E2E0B4C" w14:textId="69B08689" w:rsidR="00925E38" w:rsidRDefault="00925E38">
      <w:pPr>
        <w:pStyle w:val="ListParagraph"/>
        <w:numPr>
          <w:ilvl w:val="0"/>
          <w:numId w:val="29"/>
        </w:numPr>
        <w:spacing w:after="0"/>
        <w:ind w:firstLineChars="0"/>
      </w:pPr>
      <w:r>
        <w:t>The orange rows (7</w:t>
      </w:r>
      <w:r w:rsidRPr="003C5358">
        <w:rPr>
          <w:vertAlign w:val="superscript"/>
        </w:rPr>
        <w:t>th</w:t>
      </w:r>
      <w:r>
        <w:rPr>
          <w:vertAlign w:val="superscript"/>
        </w:rPr>
        <w:t xml:space="preserve"> </w:t>
      </w:r>
      <w:r>
        <w:t>and 11</w:t>
      </w:r>
      <w:r w:rsidRPr="00925E38">
        <w:rPr>
          <w:vertAlign w:val="superscript"/>
        </w:rPr>
        <w:t>th</w:t>
      </w:r>
      <w:r>
        <w:t>), fully allocated NC ULCA without MPR was suggested as the new UL configuration for non-contiguous ULCA.</w:t>
      </w:r>
    </w:p>
    <w:p w14:paraId="4B2D5D02" w14:textId="514E05E4" w:rsidR="00925E38" w:rsidRDefault="00925E38">
      <w:pPr>
        <w:pStyle w:val="ListParagraph"/>
        <w:numPr>
          <w:ilvl w:val="0"/>
          <w:numId w:val="29"/>
        </w:numPr>
        <w:spacing w:after="0"/>
        <w:ind w:firstLineChars="0"/>
      </w:pPr>
      <w:r>
        <w:t>The red rows (8</w:t>
      </w:r>
      <w:r w:rsidRPr="003C5358">
        <w:rPr>
          <w:vertAlign w:val="superscript"/>
        </w:rPr>
        <w:t>th</w:t>
      </w:r>
      <w:r>
        <w:rPr>
          <w:vertAlign w:val="superscript"/>
        </w:rPr>
        <w:t xml:space="preserve"> </w:t>
      </w:r>
      <w:r>
        <w:t>and 12</w:t>
      </w:r>
      <w:r w:rsidRPr="00925E38">
        <w:rPr>
          <w:vertAlign w:val="superscript"/>
        </w:rPr>
        <w:t>th</w:t>
      </w:r>
      <w:r>
        <w:t>), 12RB+12RB ULCA without MPR is the UL configuration commonly used for FDD ULCA.</w:t>
      </w:r>
    </w:p>
    <w:p w14:paraId="63C86781" w14:textId="7D06F229" w:rsidR="00925E38" w:rsidRDefault="00925E38">
      <w:pPr>
        <w:pStyle w:val="ListParagraph"/>
        <w:numPr>
          <w:ilvl w:val="0"/>
          <w:numId w:val="29"/>
        </w:numPr>
        <w:spacing w:after="0"/>
        <w:ind w:firstLineChars="0"/>
      </w:pPr>
      <w:r>
        <w:t>The cyan rows (17</w:t>
      </w:r>
      <w:r w:rsidRPr="003C5358">
        <w:rPr>
          <w:vertAlign w:val="superscript"/>
        </w:rPr>
        <w:t>th</w:t>
      </w:r>
      <w:r>
        <w:rPr>
          <w:vertAlign w:val="superscript"/>
        </w:rPr>
        <w:t xml:space="preserve"> </w:t>
      </w:r>
      <w:r>
        <w:t>and 21</w:t>
      </w:r>
      <w:r>
        <w:rPr>
          <w:vertAlign w:val="superscript"/>
        </w:rPr>
        <w:t>st</w:t>
      </w:r>
      <w:r>
        <w:t>), 1RB+1RB ULCA with MPR is the UL configuration used for TDD contiguous ULCA.</w:t>
      </w:r>
    </w:p>
    <w:p w14:paraId="341A84F0" w14:textId="440B8BA9" w:rsidR="003C5358" w:rsidRPr="009C5C4D" w:rsidRDefault="00925E38">
      <w:pPr>
        <w:pStyle w:val="ListParagraph"/>
        <w:numPr>
          <w:ilvl w:val="0"/>
          <w:numId w:val="29"/>
        </w:numPr>
        <w:spacing w:after="0"/>
        <w:ind w:firstLineChars="0"/>
      </w:pPr>
      <w:r>
        <w:t>The dark blue rows (24</w:t>
      </w:r>
      <w:r w:rsidRPr="003C5358">
        <w:rPr>
          <w:vertAlign w:val="superscript"/>
        </w:rPr>
        <w:t>th</w:t>
      </w:r>
      <w:r>
        <w:rPr>
          <w:vertAlign w:val="superscript"/>
        </w:rPr>
        <w:t xml:space="preserve"> </w:t>
      </w:r>
      <w:r>
        <w:t>and 27</w:t>
      </w:r>
      <w:r w:rsidRPr="00925E38">
        <w:rPr>
          <w:vertAlign w:val="superscript"/>
        </w:rPr>
        <w:t>th</w:t>
      </w:r>
      <w:r>
        <w:t>), 1RB+1RB ULCA with MPR is the UL configuration used for TDD non-contiguous ULCA.</w:t>
      </w:r>
    </w:p>
    <w:p w14:paraId="1F28495B" w14:textId="4BF8FF29" w:rsidR="00EF027D" w:rsidRDefault="00EF027D" w:rsidP="00EF027D">
      <w:pPr>
        <w:pStyle w:val="Caption"/>
        <w:keepNext/>
      </w:pPr>
      <w:r>
        <w:t xml:space="preserve">Table </w:t>
      </w:r>
      <w:r>
        <w:fldChar w:fldCharType="begin"/>
      </w:r>
      <w:r>
        <w:instrText xml:space="preserve"> SEQ Table \* ARABIC </w:instrText>
      </w:r>
      <w:r>
        <w:fldChar w:fldCharType="separate"/>
      </w:r>
      <w:r>
        <w:rPr>
          <w:noProof/>
        </w:rPr>
        <w:t>1</w:t>
      </w:r>
      <w:r>
        <w:fldChar w:fldCharType="end"/>
      </w:r>
      <w:r>
        <w:t>: comparison of interference bandwidths for different allocations and MPR</w:t>
      </w:r>
    </w:p>
    <w:tbl>
      <w:tblPr>
        <w:tblW w:w="10350" w:type="dxa"/>
        <w:jc w:val="center"/>
        <w:tblLayout w:type="fixed"/>
        <w:tblLook w:val="04A0" w:firstRow="1" w:lastRow="0" w:firstColumn="1" w:lastColumn="0" w:noHBand="0" w:noVBand="1"/>
      </w:tblPr>
      <w:tblGrid>
        <w:gridCol w:w="1170"/>
        <w:gridCol w:w="658"/>
        <w:gridCol w:w="1025"/>
        <w:gridCol w:w="516"/>
        <w:gridCol w:w="419"/>
        <w:gridCol w:w="532"/>
        <w:gridCol w:w="419"/>
        <w:gridCol w:w="571"/>
        <w:gridCol w:w="450"/>
        <w:gridCol w:w="541"/>
        <w:gridCol w:w="539"/>
        <w:gridCol w:w="630"/>
        <w:gridCol w:w="540"/>
        <w:gridCol w:w="630"/>
        <w:gridCol w:w="540"/>
        <w:gridCol w:w="1170"/>
      </w:tblGrid>
      <w:tr w:rsidR="00EF027D" w:rsidRPr="00704D55" w14:paraId="520C470C" w14:textId="77777777" w:rsidTr="003C5358">
        <w:trPr>
          <w:trHeight w:val="240"/>
          <w:jc w:val="center"/>
        </w:trPr>
        <w:tc>
          <w:tcPr>
            <w:tcW w:w="1170" w:type="dxa"/>
            <w:tcBorders>
              <w:top w:val="nil"/>
              <w:left w:val="nil"/>
              <w:bottom w:val="nil"/>
              <w:right w:val="nil"/>
            </w:tcBorders>
            <w:shd w:val="clear" w:color="auto" w:fill="auto"/>
            <w:noWrap/>
            <w:vAlign w:val="bottom"/>
            <w:hideMark/>
          </w:tcPr>
          <w:p w14:paraId="7FBE9FA5" w14:textId="77777777" w:rsidR="00EF027D" w:rsidRPr="00EF027D" w:rsidRDefault="00EF027D" w:rsidP="00EF027D">
            <w:pPr>
              <w:overflowPunct/>
              <w:autoSpaceDE/>
              <w:autoSpaceDN/>
              <w:adjustRightInd/>
              <w:spacing w:after="0"/>
              <w:textAlignment w:val="auto"/>
              <w:rPr>
                <w:rFonts w:asciiTheme="minorHAnsi" w:hAnsiTheme="minorHAnsi" w:cstheme="minorHAnsi"/>
                <w:sz w:val="16"/>
                <w:szCs w:val="16"/>
                <w:lang w:val="en-US" w:eastAsia="en-US"/>
              </w:rPr>
            </w:pPr>
          </w:p>
        </w:tc>
        <w:tc>
          <w:tcPr>
            <w:tcW w:w="658" w:type="dxa"/>
            <w:tcBorders>
              <w:top w:val="nil"/>
              <w:left w:val="nil"/>
              <w:bottom w:val="nil"/>
              <w:right w:val="nil"/>
            </w:tcBorders>
            <w:shd w:val="clear" w:color="auto" w:fill="auto"/>
            <w:noWrap/>
            <w:vAlign w:val="bottom"/>
            <w:hideMark/>
          </w:tcPr>
          <w:p w14:paraId="4EFF7EA4" w14:textId="77777777" w:rsidR="00EF027D" w:rsidRPr="00EF027D" w:rsidRDefault="00EF027D" w:rsidP="00EF027D">
            <w:pPr>
              <w:overflowPunct/>
              <w:autoSpaceDE/>
              <w:autoSpaceDN/>
              <w:adjustRightInd/>
              <w:spacing w:after="0"/>
              <w:textAlignment w:val="auto"/>
              <w:rPr>
                <w:rFonts w:asciiTheme="minorHAnsi" w:hAnsiTheme="minorHAnsi" w:cstheme="minorHAnsi"/>
                <w:sz w:val="16"/>
                <w:szCs w:val="16"/>
                <w:lang w:val="en-US" w:eastAsia="en-US"/>
              </w:rPr>
            </w:pPr>
          </w:p>
        </w:tc>
        <w:tc>
          <w:tcPr>
            <w:tcW w:w="10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AA439A"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range</w:t>
            </w:r>
          </w:p>
        </w:tc>
        <w:tc>
          <w:tcPr>
            <w:tcW w:w="935" w:type="dxa"/>
            <w:gridSpan w:val="2"/>
            <w:tcBorders>
              <w:top w:val="single" w:sz="4" w:space="0" w:color="auto"/>
              <w:left w:val="nil"/>
              <w:bottom w:val="single" w:sz="4" w:space="0" w:color="auto"/>
              <w:right w:val="single" w:sz="4" w:space="0" w:color="auto"/>
            </w:tcBorders>
            <w:shd w:val="clear" w:color="auto" w:fill="auto"/>
            <w:noWrap/>
            <w:vAlign w:val="center"/>
            <w:hideMark/>
          </w:tcPr>
          <w:p w14:paraId="30F0459C" w14:textId="77777777"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signal</w:t>
            </w:r>
          </w:p>
        </w:tc>
        <w:tc>
          <w:tcPr>
            <w:tcW w:w="951" w:type="dxa"/>
            <w:gridSpan w:val="2"/>
            <w:tcBorders>
              <w:top w:val="single" w:sz="4" w:space="0" w:color="auto"/>
              <w:left w:val="nil"/>
              <w:bottom w:val="single" w:sz="4" w:space="0" w:color="auto"/>
              <w:right w:val="single" w:sz="4" w:space="0" w:color="auto"/>
            </w:tcBorders>
            <w:shd w:val="clear" w:color="auto" w:fill="auto"/>
            <w:noWrap/>
            <w:vAlign w:val="center"/>
            <w:hideMark/>
          </w:tcPr>
          <w:p w14:paraId="655B8189" w14:textId="77777777"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-13dBm</w:t>
            </w:r>
          </w:p>
          <w:p w14:paraId="0CAB4346" w14:textId="3D7C51D1"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/MHz</w:t>
            </w:r>
          </w:p>
        </w:tc>
        <w:tc>
          <w:tcPr>
            <w:tcW w:w="102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F7FF8A9" w14:textId="77777777"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-20dBm</w:t>
            </w:r>
          </w:p>
          <w:p w14:paraId="2140807D" w14:textId="028550F8"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/MHz</w:t>
            </w:r>
          </w:p>
        </w:tc>
        <w:tc>
          <w:tcPr>
            <w:tcW w:w="10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E4E2D55" w14:textId="77777777"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-30dBm</w:t>
            </w:r>
          </w:p>
          <w:p w14:paraId="428E0DC2" w14:textId="7B733892"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/MHz</w:t>
            </w:r>
          </w:p>
        </w:tc>
        <w:tc>
          <w:tcPr>
            <w:tcW w:w="117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F087FF0" w14:textId="77777777"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-45dBm</w:t>
            </w:r>
          </w:p>
          <w:p w14:paraId="5EB296DA" w14:textId="682DC5C2"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/MHz</w:t>
            </w:r>
          </w:p>
        </w:tc>
        <w:tc>
          <w:tcPr>
            <w:tcW w:w="117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01338A5" w14:textId="77777777"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-55dBm</w:t>
            </w:r>
          </w:p>
          <w:p w14:paraId="04521F10" w14:textId="4420F992"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/MHz</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D7E5192" w14:textId="77777777"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cases in Spec</w:t>
            </w:r>
          </w:p>
        </w:tc>
      </w:tr>
      <w:tr w:rsidR="00EF027D" w:rsidRPr="00CF4EDE" w14:paraId="48381DAC" w14:textId="77777777" w:rsidTr="003C5358">
        <w:trPr>
          <w:trHeight w:val="585"/>
          <w:jc w:val="center"/>
        </w:trPr>
        <w:tc>
          <w:tcPr>
            <w:tcW w:w="1170" w:type="dxa"/>
            <w:tcBorders>
              <w:top w:val="nil"/>
              <w:left w:val="nil"/>
              <w:bottom w:val="nil"/>
              <w:right w:val="nil"/>
            </w:tcBorders>
            <w:shd w:val="clear" w:color="auto" w:fill="auto"/>
            <w:noWrap/>
            <w:vAlign w:val="center"/>
            <w:hideMark/>
          </w:tcPr>
          <w:p w14:paraId="3C0E7E9C" w14:textId="77777777"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c>
          <w:tcPr>
            <w:tcW w:w="658" w:type="dxa"/>
            <w:tcBorders>
              <w:top w:val="nil"/>
              <w:left w:val="nil"/>
              <w:bottom w:val="nil"/>
              <w:right w:val="nil"/>
            </w:tcBorders>
            <w:shd w:val="clear" w:color="auto" w:fill="auto"/>
            <w:noWrap/>
            <w:vAlign w:val="center"/>
            <w:hideMark/>
          </w:tcPr>
          <w:p w14:paraId="131C0C0E" w14:textId="77777777" w:rsidR="00EF027D" w:rsidRPr="00EF027D" w:rsidRDefault="00EF027D" w:rsidP="00EF027D">
            <w:pPr>
              <w:overflowPunct/>
              <w:autoSpaceDE/>
              <w:autoSpaceDN/>
              <w:adjustRightInd/>
              <w:spacing w:after="0"/>
              <w:textAlignment w:val="auto"/>
              <w:rPr>
                <w:rFonts w:asciiTheme="minorHAnsi" w:hAnsiTheme="minorHAnsi" w:cstheme="minorHAnsi"/>
                <w:sz w:val="16"/>
                <w:szCs w:val="16"/>
                <w:lang w:val="en-US" w:eastAsia="en-US"/>
              </w:rPr>
            </w:pPr>
          </w:p>
        </w:tc>
        <w:tc>
          <w:tcPr>
            <w:tcW w:w="1025" w:type="dxa"/>
            <w:tcBorders>
              <w:top w:val="nil"/>
              <w:left w:val="single" w:sz="4" w:space="0" w:color="auto"/>
              <w:bottom w:val="single" w:sz="4" w:space="0" w:color="auto"/>
              <w:right w:val="single" w:sz="4" w:space="0" w:color="auto"/>
            </w:tcBorders>
            <w:shd w:val="clear" w:color="auto" w:fill="auto"/>
            <w:noWrap/>
            <w:vAlign w:val="center"/>
            <w:hideMark/>
          </w:tcPr>
          <w:p w14:paraId="36071F59"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spec</w:t>
            </w:r>
          </w:p>
        </w:tc>
        <w:tc>
          <w:tcPr>
            <w:tcW w:w="935" w:type="dxa"/>
            <w:gridSpan w:val="2"/>
            <w:tcBorders>
              <w:top w:val="single" w:sz="4" w:space="0" w:color="auto"/>
              <w:left w:val="nil"/>
              <w:bottom w:val="single" w:sz="4" w:space="0" w:color="auto"/>
              <w:right w:val="single" w:sz="4" w:space="0" w:color="auto"/>
            </w:tcBorders>
            <w:shd w:val="clear" w:color="auto" w:fill="auto"/>
            <w:vAlign w:val="center"/>
            <w:hideMark/>
          </w:tcPr>
          <w:p w14:paraId="4A4A5DE4" w14:textId="77777777"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MOP, occupied BW</w:t>
            </w:r>
          </w:p>
        </w:tc>
        <w:tc>
          <w:tcPr>
            <w:tcW w:w="951" w:type="dxa"/>
            <w:gridSpan w:val="2"/>
            <w:tcBorders>
              <w:top w:val="single" w:sz="4" w:space="0" w:color="auto"/>
              <w:left w:val="nil"/>
              <w:bottom w:val="single" w:sz="4" w:space="0" w:color="auto"/>
              <w:right w:val="single" w:sz="4" w:space="0" w:color="auto"/>
            </w:tcBorders>
            <w:shd w:val="clear" w:color="auto" w:fill="auto"/>
            <w:noWrap/>
            <w:vAlign w:val="center"/>
            <w:hideMark/>
          </w:tcPr>
          <w:p w14:paraId="784A98BA" w14:textId="77777777"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MPR</w:t>
            </w:r>
          </w:p>
          <w:p w14:paraId="2200D563" w14:textId="4FCCA108"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(SEM)</w:t>
            </w:r>
          </w:p>
        </w:tc>
        <w:tc>
          <w:tcPr>
            <w:tcW w:w="1021" w:type="dxa"/>
            <w:gridSpan w:val="2"/>
            <w:tcBorders>
              <w:top w:val="single" w:sz="4" w:space="0" w:color="auto"/>
              <w:left w:val="nil"/>
              <w:bottom w:val="single" w:sz="4" w:space="0" w:color="auto"/>
              <w:right w:val="single" w:sz="4" w:space="0" w:color="auto"/>
            </w:tcBorders>
            <w:shd w:val="clear" w:color="auto" w:fill="auto"/>
            <w:noWrap/>
            <w:vAlign w:val="center"/>
            <w:hideMark/>
          </w:tcPr>
          <w:p w14:paraId="7790711E" w14:textId="5C2FB25C"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704D55">
              <w:rPr>
                <w:rFonts w:asciiTheme="minorHAnsi" w:hAnsiTheme="minorHAnsi" w:cstheme="minorHAnsi"/>
                <w:color w:val="000000"/>
                <w:sz w:val="16"/>
                <w:szCs w:val="16"/>
                <w:lang w:val="en-US" w:eastAsia="en-US"/>
              </w:rPr>
              <w:t>C</w:t>
            </w:r>
            <w:r w:rsidRPr="00EF027D">
              <w:rPr>
                <w:rFonts w:asciiTheme="minorHAnsi" w:hAnsiTheme="minorHAnsi" w:cstheme="minorHAnsi"/>
                <w:color w:val="000000"/>
                <w:sz w:val="16"/>
                <w:szCs w:val="16"/>
                <w:lang w:val="en-US" w:eastAsia="en-US"/>
              </w:rPr>
              <w:t>oex</w:t>
            </w:r>
          </w:p>
          <w:p w14:paraId="1506FD7A" w14:textId="60D21C31"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(30dB RF rej)</w:t>
            </w:r>
          </w:p>
        </w:tc>
        <w:tc>
          <w:tcPr>
            <w:tcW w:w="1080" w:type="dxa"/>
            <w:gridSpan w:val="2"/>
            <w:tcBorders>
              <w:top w:val="single" w:sz="4" w:space="0" w:color="auto"/>
              <w:left w:val="nil"/>
              <w:bottom w:val="single" w:sz="4" w:space="0" w:color="auto"/>
              <w:right w:val="single" w:sz="4" w:space="0" w:color="auto"/>
            </w:tcBorders>
            <w:shd w:val="clear" w:color="auto" w:fill="auto"/>
            <w:vAlign w:val="center"/>
            <w:hideMark/>
          </w:tcPr>
          <w:p w14:paraId="4836E1E0" w14:textId="77777777"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MPR(SEM), 5MHz CBW ~20dB desense 50dB iso</w:t>
            </w:r>
          </w:p>
        </w:tc>
        <w:tc>
          <w:tcPr>
            <w:tcW w:w="1170" w:type="dxa"/>
            <w:gridSpan w:val="2"/>
            <w:tcBorders>
              <w:top w:val="single" w:sz="4" w:space="0" w:color="auto"/>
              <w:left w:val="nil"/>
              <w:bottom w:val="single" w:sz="4" w:space="0" w:color="auto"/>
              <w:right w:val="single" w:sz="4" w:space="0" w:color="auto"/>
            </w:tcBorders>
            <w:shd w:val="clear" w:color="auto" w:fill="auto"/>
            <w:vAlign w:val="center"/>
            <w:hideMark/>
          </w:tcPr>
          <w:p w14:paraId="7C841CD2" w14:textId="77777777"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5MHz CBW ~3dB desense 50dB iso</w:t>
            </w:r>
          </w:p>
        </w:tc>
        <w:tc>
          <w:tcPr>
            <w:tcW w:w="1170" w:type="dxa"/>
            <w:gridSpan w:val="2"/>
            <w:tcBorders>
              <w:top w:val="single" w:sz="4" w:space="0" w:color="auto"/>
              <w:left w:val="nil"/>
              <w:bottom w:val="single" w:sz="4" w:space="0" w:color="auto"/>
              <w:right w:val="single" w:sz="4" w:space="0" w:color="auto"/>
            </w:tcBorders>
            <w:shd w:val="clear" w:color="auto" w:fill="auto"/>
            <w:vAlign w:val="center"/>
            <w:hideMark/>
          </w:tcPr>
          <w:p w14:paraId="7352AB4F" w14:textId="77777777"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5MHz CBW no desense 50dB iso</w:t>
            </w:r>
          </w:p>
        </w:tc>
        <w:tc>
          <w:tcPr>
            <w:tcW w:w="1170" w:type="dxa"/>
            <w:vMerge/>
            <w:tcBorders>
              <w:top w:val="single" w:sz="4" w:space="0" w:color="auto"/>
              <w:left w:val="single" w:sz="4" w:space="0" w:color="auto"/>
              <w:bottom w:val="single" w:sz="4" w:space="0" w:color="auto"/>
              <w:right w:val="single" w:sz="4" w:space="0" w:color="auto"/>
            </w:tcBorders>
            <w:vAlign w:val="center"/>
            <w:hideMark/>
          </w:tcPr>
          <w:p w14:paraId="4582DBD4"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r>
      <w:tr w:rsidR="00704D55" w:rsidRPr="00704D55" w14:paraId="1354E649" w14:textId="77777777" w:rsidTr="003C5358">
        <w:trPr>
          <w:trHeight w:val="240"/>
          <w:jc w:val="center"/>
        </w:trPr>
        <w:tc>
          <w:tcPr>
            <w:tcW w:w="1170" w:type="dxa"/>
            <w:tcBorders>
              <w:top w:val="nil"/>
              <w:left w:val="nil"/>
              <w:bottom w:val="nil"/>
              <w:right w:val="nil"/>
            </w:tcBorders>
            <w:shd w:val="clear" w:color="auto" w:fill="auto"/>
            <w:noWrap/>
            <w:vAlign w:val="center"/>
            <w:hideMark/>
          </w:tcPr>
          <w:p w14:paraId="2BD7182B" w14:textId="77777777"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c>
          <w:tcPr>
            <w:tcW w:w="658" w:type="dxa"/>
            <w:tcBorders>
              <w:top w:val="nil"/>
              <w:left w:val="nil"/>
              <w:bottom w:val="nil"/>
              <w:right w:val="nil"/>
            </w:tcBorders>
            <w:shd w:val="clear" w:color="auto" w:fill="auto"/>
            <w:noWrap/>
            <w:vAlign w:val="center"/>
            <w:hideMark/>
          </w:tcPr>
          <w:p w14:paraId="75C6E470" w14:textId="77777777" w:rsidR="00EF027D" w:rsidRPr="00EF027D" w:rsidRDefault="00EF027D" w:rsidP="00EF027D">
            <w:pPr>
              <w:overflowPunct/>
              <w:autoSpaceDE/>
              <w:autoSpaceDN/>
              <w:adjustRightInd/>
              <w:spacing w:after="0"/>
              <w:textAlignment w:val="auto"/>
              <w:rPr>
                <w:rFonts w:asciiTheme="minorHAnsi" w:hAnsiTheme="minorHAnsi" w:cstheme="minorHAnsi"/>
                <w:sz w:val="16"/>
                <w:szCs w:val="16"/>
                <w:lang w:val="en-US" w:eastAsia="en-US"/>
              </w:rPr>
            </w:pPr>
          </w:p>
        </w:tc>
        <w:tc>
          <w:tcPr>
            <w:tcW w:w="1025" w:type="dxa"/>
            <w:tcBorders>
              <w:top w:val="nil"/>
              <w:left w:val="single" w:sz="4" w:space="0" w:color="auto"/>
              <w:bottom w:val="single" w:sz="4" w:space="0" w:color="auto"/>
              <w:right w:val="single" w:sz="4" w:space="0" w:color="auto"/>
            </w:tcBorders>
            <w:shd w:val="clear" w:color="auto" w:fill="auto"/>
            <w:noWrap/>
            <w:vAlign w:val="bottom"/>
            <w:hideMark/>
          </w:tcPr>
          <w:p w14:paraId="6A368D14"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BW</w:t>
            </w:r>
          </w:p>
        </w:tc>
        <w:tc>
          <w:tcPr>
            <w:tcW w:w="516" w:type="dxa"/>
            <w:tcBorders>
              <w:top w:val="nil"/>
              <w:left w:val="nil"/>
              <w:bottom w:val="single" w:sz="4" w:space="0" w:color="auto"/>
              <w:right w:val="single" w:sz="4" w:space="0" w:color="auto"/>
            </w:tcBorders>
            <w:shd w:val="clear" w:color="auto" w:fill="auto"/>
            <w:noWrap/>
            <w:vAlign w:val="center"/>
            <w:hideMark/>
          </w:tcPr>
          <w:p w14:paraId="49CF23CA"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MHz</w:t>
            </w:r>
          </w:p>
        </w:tc>
        <w:tc>
          <w:tcPr>
            <w:tcW w:w="419" w:type="dxa"/>
            <w:tcBorders>
              <w:top w:val="nil"/>
              <w:left w:val="nil"/>
              <w:bottom w:val="single" w:sz="4" w:space="0" w:color="auto"/>
              <w:right w:val="single" w:sz="4" w:space="0" w:color="auto"/>
            </w:tcBorders>
            <w:shd w:val="clear" w:color="auto" w:fill="auto"/>
            <w:noWrap/>
            <w:vAlign w:val="center"/>
            <w:hideMark/>
          </w:tcPr>
          <w:p w14:paraId="2A9CC8F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x</w:t>
            </w:r>
          </w:p>
        </w:tc>
        <w:tc>
          <w:tcPr>
            <w:tcW w:w="532" w:type="dxa"/>
            <w:tcBorders>
              <w:top w:val="nil"/>
              <w:left w:val="nil"/>
              <w:bottom w:val="single" w:sz="4" w:space="0" w:color="auto"/>
              <w:right w:val="single" w:sz="4" w:space="0" w:color="auto"/>
            </w:tcBorders>
            <w:shd w:val="clear" w:color="auto" w:fill="auto"/>
            <w:noWrap/>
            <w:vAlign w:val="center"/>
            <w:hideMark/>
          </w:tcPr>
          <w:p w14:paraId="5BD6514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MHz</w:t>
            </w:r>
          </w:p>
        </w:tc>
        <w:tc>
          <w:tcPr>
            <w:tcW w:w="419" w:type="dxa"/>
            <w:tcBorders>
              <w:top w:val="nil"/>
              <w:left w:val="nil"/>
              <w:bottom w:val="single" w:sz="4" w:space="0" w:color="auto"/>
              <w:right w:val="single" w:sz="4" w:space="0" w:color="auto"/>
            </w:tcBorders>
            <w:shd w:val="clear" w:color="auto" w:fill="auto"/>
            <w:noWrap/>
            <w:vAlign w:val="center"/>
            <w:hideMark/>
          </w:tcPr>
          <w:p w14:paraId="47F89DF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x</w:t>
            </w:r>
          </w:p>
        </w:tc>
        <w:tc>
          <w:tcPr>
            <w:tcW w:w="571" w:type="dxa"/>
            <w:tcBorders>
              <w:top w:val="nil"/>
              <w:left w:val="nil"/>
              <w:bottom w:val="single" w:sz="4" w:space="0" w:color="auto"/>
              <w:right w:val="single" w:sz="4" w:space="0" w:color="auto"/>
            </w:tcBorders>
            <w:shd w:val="clear" w:color="auto" w:fill="auto"/>
            <w:noWrap/>
            <w:vAlign w:val="center"/>
            <w:hideMark/>
          </w:tcPr>
          <w:p w14:paraId="27D17ED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MHz</w:t>
            </w:r>
          </w:p>
        </w:tc>
        <w:tc>
          <w:tcPr>
            <w:tcW w:w="450" w:type="dxa"/>
            <w:tcBorders>
              <w:top w:val="nil"/>
              <w:left w:val="nil"/>
              <w:bottom w:val="single" w:sz="4" w:space="0" w:color="auto"/>
              <w:right w:val="single" w:sz="4" w:space="0" w:color="auto"/>
            </w:tcBorders>
            <w:shd w:val="clear" w:color="auto" w:fill="auto"/>
            <w:noWrap/>
            <w:vAlign w:val="center"/>
            <w:hideMark/>
          </w:tcPr>
          <w:p w14:paraId="2AFB39EC"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x</w:t>
            </w:r>
          </w:p>
        </w:tc>
        <w:tc>
          <w:tcPr>
            <w:tcW w:w="541" w:type="dxa"/>
            <w:tcBorders>
              <w:top w:val="nil"/>
              <w:left w:val="nil"/>
              <w:bottom w:val="single" w:sz="4" w:space="0" w:color="auto"/>
              <w:right w:val="single" w:sz="4" w:space="0" w:color="auto"/>
            </w:tcBorders>
            <w:shd w:val="clear" w:color="auto" w:fill="auto"/>
            <w:noWrap/>
            <w:vAlign w:val="center"/>
            <w:hideMark/>
          </w:tcPr>
          <w:p w14:paraId="02E9E15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MHz</w:t>
            </w:r>
          </w:p>
        </w:tc>
        <w:tc>
          <w:tcPr>
            <w:tcW w:w="539" w:type="dxa"/>
            <w:tcBorders>
              <w:top w:val="nil"/>
              <w:left w:val="nil"/>
              <w:bottom w:val="single" w:sz="4" w:space="0" w:color="auto"/>
              <w:right w:val="single" w:sz="4" w:space="0" w:color="auto"/>
            </w:tcBorders>
            <w:shd w:val="clear" w:color="auto" w:fill="auto"/>
            <w:noWrap/>
            <w:vAlign w:val="center"/>
            <w:hideMark/>
          </w:tcPr>
          <w:p w14:paraId="6176687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x</w:t>
            </w:r>
          </w:p>
        </w:tc>
        <w:tc>
          <w:tcPr>
            <w:tcW w:w="630" w:type="dxa"/>
            <w:tcBorders>
              <w:top w:val="nil"/>
              <w:left w:val="nil"/>
              <w:bottom w:val="single" w:sz="4" w:space="0" w:color="auto"/>
              <w:right w:val="single" w:sz="4" w:space="0" w:color="auto"/>
            </w:tcBorders>
            <w:shd w:val="clear" w:color="auto" w:fill="auto"/>
            <w:noWrap/>
            <w:vAlign w:val="center"/>
            <w:hideMark/>
          </w:tcPr>
          <w:p w14:paraId="1692C7B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MHz</w:t>
            </w:r>
          </w:p>
        </w:tc>
        <w:tc>
          <w:tcPr>
            <w:tcW w:w="540" w:type="dxa"/>
            <w:tcBorders>
              <w:top w:val="nil"/>
              <w:left w:val="nil"/>
              <w:bottom w:val="single" w:sz="4" w:space="0" w:color="auto"/>
              <w:right w:val="single" w:sz="4" w:space="0" w:color="auto"/>
            </w:tcBorders>
            <w:shd w:val="clear" w:color="auto" w:fill="auto"/>
            <w:noWrap/>
            <w:vAlign w:val="center"/>
            <w:hideMark/>
          </w:tcPr>
          <w:p w14:paraId="1803CB10"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x</w:t>
            </w:r>
          </w:p>
        </w:tc>
        <w:tc>
          <w:tcPr>
            <w:tcW w:w="630" w:type="dxa"/>
            <w:tcBorders>
              <w:top w:val="nil"/>
              <w:left w:val="nil"/>
              <w:bottom w:val="single" w:sz="4" w:space="0" w:color="auto"/>
              <w:right w:val="single" w:sz="4" w:space="0" w:color="auto"/>
            </w:tcBorders>
            <w:shd w:val="clear" w:color="auto" w:fill="auto"/>
            <w:noWrap/>
            <w:vAlign w:val="center"/>
            <w:hideMark/>
          </w:tcPr>
          <w:p w14:paraId="6491DEA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MHz</w:t>
            </w:r>
          </w:p>
        </w:tc>
        <w:tc>
          <w:tcPr>
            <w:tcW w:w="540" w:type="dxa"/>
            <w:tcBorders>
              <w:top w:val="nil"/>
              <w:left w:val="nil"/>
              <w:bottom w:val="single" w:sz="4" w:space="0" w:color="auto"/>
              <w:right w:val="single" w:sz="4" w:space="0" w:color="auto"/>
            </w:tcBorders>
            <w:shd w:val="clear" w:color="auto" w:fill="auto"/>
            <w:noWrap/>
            <w:vAlign w:val="center"/>
            <w:hideMark/>
          </w:tcPr>
          <w:p w14:paraId="4B17B590"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x</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79D29A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r>
      <w:tr w:rsidR="00CF4EDE" w:rsidRPr="00704D55" w14:paraId="77264635" w14:textId="77777777" w:rsidTr="003C5358">
        <w:trPr>
          <w:trHeight w:val="240"/>
          <w:jc w:val="center"/>
        </w:trPr>
        <w:tc>
          <w:tcPr>
            <w:tcW w:w="11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4BA6BE" w14:textId="77777777"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 xml:space="preserve">single CC </w:t>
            </w:r>
          </w:p>
          <w:p w14:paraId="712FBF59" w14:textId="77777777"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 xml:space="preserve">MPR0: </w:t>
            </w:r>
          </w:p>
          <w:p w14:paraId="34645A90" w14:textId="4EF391DE"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LCRB_</w:t>
            </w:r>
          </w:p>
          <w:p w14:paraId="70FA5749" w14:textId="77777777"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image(dB)_</w:t>
            </w:r>
          </w:p>
          <w:p w14:paraId="3B132B7A" w14:textId="08F3185D"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fr-FR" w:eastAsia="en-US"/>
              </w:rPr>
            </w:pPr>
            <w:r w:rsidRPr="00EF027D">
              <w:rPr>
                <w:rFonts w:asciiTheme="minorHAnsi" w:hAnsiTheme="minorHAnsi" w:cstheme="minorHAnsi"/>
                <w:color w:val="000000"/>
                <w:sz w:val="16"/>
                <w:szCs w:val="16"/>
                <w:lang w:val="fr-FR" w:eastAsia="en-US"/>
              </w:rPr>
              <w:t>MPR</w:t>
            </w:r>
          </w:p>
        </w:tc>
        <w:tc>
          <w:tcPr>
            <w:tcW w:w="6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77C08F" w14:textId="77777777"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28dB image</w:t>
            </w:r>
          </w:p>
        </w:tc>
        <w:tc>
          <w:tcPr>
            <w:tcW w:w="1025" w:type="dxa"/>
            <w:tcBorders>
              <w:top w:val="nil"/>
              <w:left w:val="nil"/>
              <w:bottom w:val="single" w:sz="4" w:space="0" w:color="auto"/>
              <w:right w:val="single" w:sz="4" w:space="0" w:color="auto"/>
            </w:tcBorders>
            <w:shd w:val="clear" w:color="auto" w:fill="auto"/>
            <w:noWrap/>
            <w:vAlign w:val="center"/>
            <w:hideMark/>
          </w:tcPr>
          <w:p w14:paraId="3223149A"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216RB_0</w:t>
            </w:r>
          </w:p>
        </w:tc>
        <w:tc>
          <w:tcPr>
            <w:tcW w:w="516" w:type="dxa"/>
            <w:tcBorders>
              <w:top w:val="nil"/>
              <w:left w:val="nil"/>
              <w:bottom w:val="single" w:sz="4" w:space="0" w:color="auto"/>
              <w:right w:val="single" w:sz="4" w:space="0" w:color="auto"/>
            </w:tcBorders>
            <w:shd w:val="clear" w:color="000000" w:fill="92D050"/>
            <w:noWrap/>
            <w:vAlign w:val="center"/>
            <w:hideMark/>
          </w:tcPr>
          <w:p w14:paraId="06DA2BF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w:t>
            </w:r>
          </w:p>
        </w:tc>
        <w:tc>
          <w:tcPr>
            <w:tcW w:w="419" w:type="dxa"/>
            <w:tcBorders>
              <w:top w:val="nil"/>
              <w:left w:val="nil"/>
              <w:bottom w:val="single" w:sz="4" w:space="0" w:color="auto"/>
              <w:right w:val="single" w:sz="4" w:space="0" w:color="auto"/>
            </w:tcBorders>
            <w:shd w:val="clear" w:color="000000" w:fill="92D050"/>
            <w:noWrap/>
            <w:vAlign w:val="center"/>
            <w:hideMark/>
          </w:tcPr>
          <w:p w14:paraId="7AD487C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000000" w:fill="92D050"/>
            <w:noWrap/>
            <w:vAlign w:val="center"/>
            <w:hideMark/>
          </w:tcPr>
          <w:p w14:paraId="4669C53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w:t>
            </w:r>
          </w:p>
        </w:tc>
        <w:tc>
          <w:tcPr>
            <w:tcW w:w="419" w:type="dxa"/>
            <w:tcBorders>
              <w:top w:val="nil"/>
              <w:left w:val="nil"/>
              <w:bottom w:val="single" w:sz="4" w:space="0" w:color="auto"/>
              <w:right w:val="single" w:sz="4" w:space="0" w:color="auto"/>
            </w:tcBorders>
            <w:shd w:val="clear" w:color="000000" w:fill="92D050"/>
            <w:noWrap/>
            <w:vAlign w:val="center"/>
            <w:hideMark/>
          </w:tcPr>
          <w:p w14:paraId="62BFCCC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71" w:type="dxa"/>
            <w:tcBorders>
              <w:top w:val="nil"/>
              <w:left w:val="nil"/>
              <w:bottom w:val="single" w:sz="4" w:space="0" w:color="auto"/>
              <w:right w:val="single" w:sz="4" w:space="0" w:color="auto"/>
            </w:tcBorders>
            <w:shd w:val="clear" w:color="000000" w:fill="92D050"/>
            <w:noWrap/>
            <w:vAlign w:val="center"/>
            <w:hideMark/>
          </w:tcPr>
          <w:p w14:paraId="732013E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50" w:type="dxa"/>
            <w:tcBorders>
              <w:top w:val="nil"/>
              <w:left w:val="nil"/>
              <w:bottom w:val="single" w:sz="4" w:space="0" w:color="auto"/>
              <w:right w:val="single" w:sz="4" w:space="0" w:color="auto"/>
            </w:tcBorders>
            <w:shd w:val="clear" w:color="000000" w:fill="92D050"/>
            <w:noWrap/>
            <w:vAlign w:val="center"/>
            <w:hideMark/>
          </w:tcPr>
          <w:p w14:paraId="30A7AF4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w:t>
            </w:r>
          </w:p>
        </w:tc>
        <w:tc>
          <w:tcPr>
            <w:tcW w:w="541" w:type="dxa"/>
            <w:tcBorders>
              <w:top w:val="nil"/>
              <w:left w:val="nil"/>
              <w:bottom w:val="single" w:sz="4" w:space="0" w:color="auto"/>
              <w:right w:val="single" w:sz="4" w:space="0" w:color="auto"/>
            </w:tcBorders>
            <w:shd w:val="clear" w:color="000000" w:fill="92D050"/>
            <w:noWrap/>
            <w:vAlign w:val="center"/>
            <w:hideMark/>
          </w:tcPr>
          <w:p w14:paraId="2BFBF91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200</w:t>
            </w:r>
          </w:p>
        </w:tc>
        <w:tc>
          <w:tcPr>
            <w:tcW w:w="539" w:type="dxa"/>
            <w:tcBorders>
              <w:top w:val="nil"/>
              <w:left w:val="nil"/>
              <w:bottom w:val="single" w:sz="4" w:space="0" w:color="auto"/>
              <w:right w:val="single" w:sz="4" w:space="0" w:color="auto"/>
            </w:tcBorders>
            <w:shd w:val="clear" w:color="000000" w:fill="92D050"/>
            <w:noWrap/>
            <w:vAlign w:val="center"/>
            <w:hideMark/>
          </w:tcPr>
          <w:p w14:paraId="7C90512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2.5</w:t>
            </w:r>
          </w:p>
        </w:tc>
        <w:tc>
          <w:tcPr>
            <w:tcW w:w="630" w:type="dxa"/>
            <w:tcBorders>
              <w:top w:val="nil"/>
              <w:left w:val="nil"/>
              <w:bottom w:val="single" w:sz="4" w:space="0" w:color="auto"/>
              <w:right w:val="single" w:sz="4" w:space="0" w:color="auto"/>
            </w:tcBorders>
            <w:shd w:val="clear" w:color="000000" w:fill="92D050"/>
            <w:noWrap/>
            <w:vAlign w:val="center"/>
            <w:hideMark/>
          </w:tcPr>
          <w:p w14:paraId="4785546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370</w:t>
            </w:r>
          </w:p>
        </w:tc>
        <w:tc>
          <w:tcPr>
            <w:tcW w:w="540" w:type="dxa"/>
            <w:tcBorders>
              <w:top w:val="nil"/>
              <w:left w:val="nil"/>
              <w:bottom w:val="single" w:sz="4" w:space="0" w:color="auto"/>
              <w:right w:val="single" w:sz="4" w:space="0" w:color="auto"/>
            </w:tcBorders>
            <w:shd w:val="clear" w:color="000000" w:fill="92D050"/>
            <w:noWrap/>
            <w:vAlign w:val="center"/>
            <w:hideMark/>
          </w:tcPr>
          <w:p w14:paraId="6103BF2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4.6</w:t>
            </w:r>
          </w:p>
        </w:tc>
        <w:tc>
          <w:tcPr>
            <w:tcW w:w="630" w:type="dxa"/>
            <w:tcBorders>
              <w:top w:val="nil"/>
              <w:left w:val="nil"/>
              <w:bottom w:val="single" w:sz="4" w:space="0" w:color="auto"/>
              <w:right w:val="single" w:sz="4" w:space="0" w:color="auto"/>
            </w:tcBorders>
            <w:shd w:val="clear" w:color="000000" w:fill="92D050"/>
            <w:noWrap/>
            <w:vAlign w:val="center"/>
            <w:hideMark/>
          </w:tcPr>
          <w:p w14:paraId="67C9C6F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530</w:t>
            </w:r>
          </w:p>
        </w:tc>
        <w:tc>
          <w:tcPr>
            <w:tcW w:w="540" w:type="dxa"/>
            <w:tcBorders>
              <w:top w:val="nil"/>
              <w:left w:val="nil"/>
              <w:bottom w:val="single" w:sz="4" w:space="0" w:color="auto"/>
              <w:right w:val="single" w:sz="4" w:space="0" w:color="auto"/>
            </w:tcBorders>
            <w:shd w:val="clear" w:color="000000" w:fill="92D050"/>
            <w:noWrap/>
            <w:vAlign w:val="center"/>
            <w:hideMark/>
          </w:tcPr>
          <w:p w14:paraId="42E2AC40"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6.6</w:t>
            </w:r>
          </w:p>
        </w:tc>
        <w:tc>
          <w:tcPr>
            <w:tcW w:w="1170" w:type="dxa"/>
            <w:tcBorders>
              <w:top w:val="nil"/>
              <w:left w:val="nil"/>
              <w:bottom w:val="single" w:sz="4" w:space="0" w:color="auto"/>
              <w:right w:val="single" w:sz="4" w:space="0" w:color="auto"/>
            </w:tcBorders>
            <w:shd w:val="clear" w:color="000000" w:fill="92D050"/>
            <w:noWrap/>
            <w:vAlign w:val="bottom"/>
            <w:hideMark/>
          </w:tcPr>
          <w:p w14:paraId="0CF6E7C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TDD</w:t>
            </w:r>
          </w:p>
        </w:tc>
      </w:tr>
      <w:tr w:rsidR="00CF4EDE" w:rsidRPr="00704D55" w14:paraId="02B8F5D2" w14:textId="77777777" w:rsidTr="003C5358">
        <w:trPr>
          <w:trHeight w:val="240"/>
          <w:jc w:val="center"/>
        </w:trPr>
        <w:tc>
          <w:tcPr>
            <w:tcW w:w="1170" w:type="dxa"/>
            <w:vMerge/>
            <w:tcBorders>
              <w:top w:val="single" w:sz="4" w:space="0" w:color="auto"/>
              <w:left w:val="single" w:sz="4" w:space="0" w:color="auto"/>
              <w:bottom w:val="single" w:sz="4" w:space="0" w:color="auto"/>
              <w:right w:val="single" w:sz="4" w:space="0" w:color="auto"/>
            </w:tcBorders>
            <w:vAlign w:val="center"/>
            <w:hideMark/>
          </w:tcPr>
          <w:p w14:paraId="126050B3"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140496CE"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0F1A2405"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12RB_0</w:t>
            </w:r>
          </w:p>
        </w:tc>
        <w:tc>
          <w:tcPr>
            <w:tcW w:w="516" w:type="dxa"/>
            <w:tcBorders>
              <w:top w:val="nil"/>
              <w:left w:val="nil"/>
              <w:bottom w:val="single" w:sz="4" w:space="0" w:color="auto"/>
              <w:right w:val="single" w:sz="4" w:space="0" w:color="auto"/>
            </w:tcBorders>
            <w:shd w:val="clear" w:color="auto" w:fill="00B050"/>
            <w:noWrap/>
            <w:vAlign w:val="center"/>
            <w:hideMark/>
          </w:tcPr>
          <w:p w14:paraId="78E49CB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w:t>
            </w:r>
          </w:p>
        </w:tc>
        <w:tc>
          <w:tcPr>
            <w:tcW w:w="419" w:type="dxa"/>
            <w:tcBorders>
              <w:top w:val="nil"/>
              <w:left w:val="nil"/>
              <w:bottom w:val="single" w:sz="4" w:space="0" w:color="auto"/>
              <w:right w:val="single" w:sz="4" w:space="0" w:color="auto"/>
            </w:tcBorders>
            <w:shd w:val="clear" w:color="auto" w:fill="00B050"/>
            <w:noWrap/>
            <w:vAlign w:val="center"/>
            <w:hideMark/>
          </w:tcPr>
          <w:p w14:paraId="755D34E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00B050"/>
            <w:noWrap/>
            <w:vAlign w:val="center"/>
            <w:hideMark/>
          </w:tcPr>
          <w:p w14:paraId="13C4727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w:t>
            </w:r>
          </w:p>
        </w:tc>
        <w:tc>
          <w:tcPr>
            <w:tcW w:w="419" w:type="dxa"/>
            <w:tcBorders>
              <w:top w:val="nil"/>
              <w:left w:val="nil"/>
              <w:bottom w:val="single" w:sz="4" w:space="0" w:color="auto"/>
              <w:right w:val="single" w:sz="4" w:space="0" w:color="auto"/>
            </w:tcBorders>
            <w:shd w:val="clear" w:color="auto" w:fill="00B050"/>
            <w:noWrap/>
            <w:vAlign w:val="center"/>
            <w:hideMark/>
          </w:tcPr>
          <w:p w14:paraId="7269122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71" w:type="dxa"/>
            <w:tcBorders>
              <w:top w:val="nil"/>
              <w:left w:val="nil"/>
              <w:bottom w:val="single" w:sz="4" w:space="0" w:color="auto"/>
              <w:right w:val="single" w:sz="4" w:space="0" w:color="auto"/>
            </w:tcBorders>
            <w:shd w:val="clear" w:color="auto" w:fill="00B050"/>
            <w:noWrap/>
            <w:vAlign w:val="center"/>
            <w:hideMark/>
          </w:tcPr>
          <w:p w14:paraId="43E96B5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w:t>
            </w:r>
          </w:p>
        </w:tc>
        <w:tc>
          <w:tcPr>
            <w:tcW w:w="450" w:type="dxa"/>
            <w:tcBorders>
              <w:top w:val="nil"/>
              <w:left w:val="nil"/>
              <w:bottom w:val="single" w:sz="4" w:space="0" w:color="auto"/>
              <w:right w:val="single" w:sz="4" w:space="0" w:color="auto"/>
            </w:tcBorders>
            <w:shd w:val="clear" w:color="auto" w:fill="00B050"/>
            <w:noWrap/>
            <w:vAlign w:val="center"/>
            <w:hideMark/>
          </w:tcPr>
          <w:p w14:paraId="6CC772B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41" w:type="dxa"/>
            <w:tcBorders>
              <w:top w:val="nil"/>
              <w:left w:val="nil"/>
              <w:bottom w:val="single" w:sz="4" w:space="0" w:color="auto"/>
              <w:right w:val="single" w:sz="4" w:space="0" w:color="auto"/>
            </w:tcBorders>
            <w:shd w:val="clear" w:color="auto" w:fill="00B050"/>
            <w:noWrap/>
            <w:vAlign w:val="center"/>
            <w:hideMark/>
          </w:tcPr>
          <w:p w14:paraId="3A88EAB0"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539" w:type="dxa"/>
            <w:tcBorders>
              <w:top w:val="nil"/>
              <w:left w:val="nil"/>
              <w:bottom w:val="single" w:sz="4" w:space="0" w:color="auto"/>
              <w:right w:val="single" w:sz="4" w:space="0" w:color="auto"/>
            </w:tcBorders>
            <w:shd w:val="clear" w:color="auto" w:fill="00B050"/>
            <w:noWrap/>
            <w:vAlign w:val="center"/>
            <w:hideMark/>
          </w:tcPr>
          <w:p w14:paraId="31A046D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w:t>
            </w:r>
          </w:p>
        </w:tc>
        <w:tc>
          <w:tcPr>
            <w:tcW w:w="630" w:type="dxa"/>
            <w:tcBorders>
              <w:top w:val="nil"/>
              <w:left w:val="nil"/>
              <w:bottom w:val="single" w:sz="4" w:space="0" w:color="auto"/>
              <w:right w:val="single" w:sz="4" w:space="0" w:color="auto"/>
            </w:tcBorders>
            <w:shd w:val="clear" w:color="auto" w:fill="00B050"/>
            <w:noWrap/>
            <w:vAlign w:val="center"/>
            <w:hideMark/>
          </w:tcPr>
          <w:p w14:paraId="6CCB7FD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540" w:type="dxa"/>
            <w:tcBorders>
              <w:top w:val="nil"/>
              <w:left w:val="nil"/>
              <w:bottom w:val="single" w:sz="4" w:space="0" w:color="auto"/>
              <w:right w:val="single" w:sz="4" w:space="0" w:color="auto"/>
            </w:tcBorders>
            <w:shd w:val="clear" w:color="auto" w:fill="00B050"/>
            <w:noWrap/>
            <w:vAlign w:val="center"/>
            <w:hideMark/>
          </w:tcPr>
          <w:p w14:paraId="55F39EF0"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w:t>
            </w:r>
          </w:p>
        </w:tc>
        <w:tc>
          <w:tcPr>
            <w:tcW w:w="630" w:type="dxa"/>
            <w:tcBorders>
              <w:top w:val="nil"/>
              <w:left w:val="nil"/>
              <w:bottom w:val="single" w:sz="4" w:space="0" w:color="auto"/>
              <w:right w:val="single" w:sz="4" w:space="0" w:color="auto"/>
            </w:tcBorders>
            <w:shd w:val="clear" w:color="auto" w:fill="00B050"/>
            <w:noWrap/>
            <w:vAlign w:val="center"/>
            <w:hideMark/>
          </w:tcPr>
          <w:p w14:paraId="7E253C9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320</w:t>
            </w:r>
          </w:p>
        </w:tc>
        <w:tc>
          <w:tcPr>
            <w:tcW w:w="540" w:type="dxa"/>
            <w:tcBorders>
              <w:top w:val="nil"/>
              <w:left w:val="nil"/>
              <w:bottom w:val="single" w:sz="4" w:space="0" w:color="auto"/>
              <w:right w:val="single" w:sz="4" w:space="0" w:color="auto"/>
            </w:tcBorders>
            <w:shd w:val="clear" w:color="auto" w:fill="00B050"/>
            <w:noWrap/>
            <w:vAlign w:val="center"/>
            <w:hideMark/>
          </w:tcPr>
          <w:p w14:paraId="75918FA4"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4.0</w:t>
            </w:r>
          </w:p>
        </w:tc>
        <w:tc>
          <w:tcPr>
            <w:tcW w:w="1170" w:type="dxa"/>
            <w:tcBorders>
              <w:top w:val="nil"/>
              <w:left w:val="nil"/>
              <w:bottom w:val="single" w:sz="4" w:space="0" w:color="auto"/>
              <w:right w:val="single" w:sz="4" w:space="0" w:color="auto"/>
            </w:tcBorders>
            <w:shd w:val="clear" w:color="auto" w:fill="00B050"/>
            <w:noWrap/>
            <w:vAlign w:val="bottom"/>
            <w:hideMark/>
          </w:tcPr>
          <w:p w14:paraId="6C40884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FDD</w:t>
            </w:r>
          </w:p>
        </w:tc>
      </w:tr>
      <w:tr w:rsidR="00EF027D" w:rsidRPr="00704D55" w14:paraId="13076411" w14:textId="77777777" w:rsidTr="003C5358">
        <w:trPr>
          <w:trHeight w:val="240"/>
          <w:jc w:val="center"/>
        </w:trPr>
        <w:tc>
          <w:tcPr>
            <w:tcW w:w="1170" w:type="dxa"/>
            <w:vMerge/>
            <w:tcBorders>
              <w:top w:val="single" w:sz="4" w:space="0" w:color="auto"/>
              <w:left w:val="single" w:sz="4" w:space="0" w:color="auto"/>
              <w:bottom w:val="single" w:sz="4" w:space="0" w:color="auto"/>
              <w:right w:val="single" w:sz="4" w:space="0" w:color="auto"/>
            </w:tcBorders>
            <w:vAlign w:val="center"/>
            <w:hideMark/>
          </w:tcPr>
          <w:p w14:paraId="0CBB2DAB"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03D3AB54"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6A607472"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1RB_28_0</w:t>
            </w:r>
          </w:p>
        </w:tc>
        <w:tc>
          <w:tcPr>
            <w:tcW w:w="516" w:type="dxa"/>
            <w:tcBorders>
              <w:top w:val="nil"/>
              <w:left w:val="nil"/>
              <w:bottom w:val="single" w:sz="4" w:space="0" w:color="auto"/>
              <w:right w:val="single" w:sz="4" w:space="0" w:color="auto"/>
            </w:tcBorders>
            <w:shd w:val="clear" w:color="auto" w:fill="auto"/>
            <w:noWrap/>
            <w:vAlign w:val="center"/>
            <w:hideMark/>
          </w:tcPr>
          <w:p w14:paraId="11601A2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w:t>
            </w:r>
          </w:p>
        </w:tc>
        <w:tc>
          <w:tcPr>
            <w:tcW w:w="419" w:type="dxa"/>
            <w:tcBorders>
              <w:top w:val="nil"/>
              <w:left w:val="nil"/>
              <w:bottom w:val="single" w:sz="4" w:space="0" w:color="auto"/>
              <w:right w:val="single" w:sz="4" w:space="0" w:color="auto"/>
            </w:tcBorders>
            <w:shd w:val="clear" w:color="auto" w:fill="auto"/>
            <w:noWrap/>
            <w:vAlign w:val="center"/>
            <w:hideMark/>
          </w:tcPr>
          <w:p w14:paraId="2ED8FE5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auto"/>
            <w:noWrap/>
            <w:vAlign w:val="center"/>
            <w:hideMark/>
          </w:tcPr>
          <w:p w14:paraId="55A2798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w:t>
            </w:r>
          </w:p>
        </w:tc>
        <w:tc>
          <w:tcPr>
            <w:tcW w:w="419" w:type="dxa"/>
            <w:tcBorders>
              <w:top w:val="nil"/>
              <w:left w:val="nil"/>
              <w:bottom w:val="single" w:sz="4" w:space="0" w:color="auto"/>
              <w:right w:val="single" w:sz="4" w:space="0" w:color="auto"/>
            </w:tcBorders>
            <w:shd w:val="clear" w:color="auto" w:fill="auto"/>
            <w:noWrap/>
            <w:vAlign w:val="center"/>
            <w:hideMark/>
          </w:tcPr>
          <w:p w14:paraId="551DA1D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71" w:type="dxa"/>
            <w:tcBorders>
              <w:top w:val="nil"/>
              <w:left w:val="nil"/>
              <w:bottom w:val="single" w:sz="4" w:space="0" w:color="auto"/>
              <w:right w:val="single" w:sz="4" w:space="0" w:color="auto"/>
            </w:tcBorders>
            <w:shd w:val="clear" w:color="auto" w:fill="auto"/>
            <w:noWrap/>
            <w:vAlign w:val="center"/>
            <w:hideMark/>
          </w:tcPr>
          <w:p w14:paraId="6CD66E80"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50" w:type="dxa"/>
            <w:tcBorders>
              <w:top w:val="nil"/>
              <w:left w:val="nil"/>
              <w:bottom w:val="single" w:sz="4" w:space="0" w:color="auto"/>
              <w:right w:val="single" w:sz="4" w:space="0" w:color="auto"/>
            </w:tcBorders>
            <w:shd w:val="clear" w:color="auto" w:fill="auto"/>
            <w:noWrap/>
            <w:vAlign w:val="center"/>
            <w:hideMark/>
          </w:tcPr>
          <w:p w14:paraId="795A039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w:t>
            </w:r>
          </w:p>
        </w:tc>
        <w:tc>
          <w:tcPr>
            <w:tcW w:w="541" w:type="dxa"/>
            <w:tcBorders>
              <w:top w:val="nil"/>
              <w:left w:val="nil"/>
              <w:bottom w:val="single" w:sz="4" w:space="0" w:color="auto"/>
              <w:right w:val="single" w:sz="4" w:space="0" w:color="auto"/>
            </w:tcBorders>
            <w:shd w:val="clear" w:color="auto" w:fill="auto"/>
            <w:noWrap/>
            <w:vAlign w:val="center"/>
            <w:hideMark/>
          </w:tcPr>
          <w:p w14:paraId="0D48584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539" w:type="dxa"/>
            <w:tcBorders>
              <w:top w:val="nil"/>
              <w:left w:val="nil"/>
              <w:bottom w:val="single" w:sz="4" w:space="0" w:color="auto"/>
              <w:right w:val="single" w:sz="4" w:space="0" w:color="auto"/>
            </w:tcBorders>
            <w:shd w:val="clear" w:color="auto" w:fill="auto"/>
            <w:noWrap/>
            <w:vAlign w:val="center"/>
            <w:hideMark/>
          </w:tcPr>
          <w:p w14:paraId="2B704E7A"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w:t>
            </w:r>
          </w:p>
        </w:tc>
        <w:tc>
          <w:tcPr>
            <w:tcW w:w="630" w:type="dxa"/>
            <w:tcBorders>
              <w:top w:val="nil"/>
              <w:left w:val="nil"/>
              <w:bottom w:val="single" w:sz="4" w:space="0" w:color="auto"/>
              <w:right w:val="single" w:sz="4" w:space="0" w:color="auto"/>
            </w:tcBorders>
            <w:shd w:val="clear" w:color="auto" w:fill="auto"/>
            <w:noWrap/>
            <w:vAlign w:val="center"/>
            <w:hideMark/>
          </w:tcPr>
          <w:p w14:paraId="0E7F634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240</w:t>
            </w:r>
          </w:p>
        </w:tc>
        <w:tc>
          <w:tcPr>
            <w:tcW w:w="540" w:type="dxa"/>
            <w:tcBorders>
              <w:top w:val="nil"/>
              <w:left w:val="nil"/>
              <w:bottom w:val="single" w:sz="4" w:space="0" w:color="auto"/>
              <w:right w:val="single" w:sz="4" w:space="0" w:color="auto"/>
            </w:tcBorders>
            <w:shd w:val="clear" w:color="auto" w:fill="auto"/>
            <w:noWrap/>
            <w:vAlign w:val="center"/>
            <w:hideMark/>
          </w:tcPr>
          <w:p w14:paraId="480F92A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w:t>
            </w:r>
          </w:p>
        </w:tc>
        <w:tc>
          <w:tcPr>
            <w:tcW w:w="630" w:type="dxa"/>
            <w:tcBorders>
              <w:top w:val="nil"/>
              <w:left w:val="nil"/>
              <w:bottom w:val="single" w:sz="4" w:space="0" w:color="auto"/>
              <w:right w:val="single" w:sz="4" w:space="0" w:color="auto"/>
            </w:tcBorders>
            <w:shd w:val="clear" w:color="auto" w:fill="auto"/>
            <w:noWrap/>
            <w:vAlign w:val="center"/>
            <w:hideMark/>
          </w:tcPr>
          <w:p w14:paraId="1879C29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400</w:t>
            </w:r>
          </w:p>
        </w:tc>
        <w:tc>
          <w:tcPr>
            <w:tcW w:w="540" w:type="dxa"/>
            <w:tcBorders>
              <w:top w:val="nil"/>
              <w:left w:val="nil"/>
              <w:bottom w:val="single" w:sz="4" w:space="0" w:color="auto"/>
              <w:right w:val="single" w:sz="4" w:space="0" w:color="auto"/>
            </w:tcBorders>
            <w:shd w:val="clear" w:color="auto" w:fill="auto"/>
            <w:noWrap/>
            <w:vAlign w:val="center"/>
            <w:hideMark/>
          </w:tcPr>
          <w:p w14:paraId="122A33D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5.0</w:t>
            </w:r>
          </w:p>
        </w:tc>
        <w:tc>
          <w:tcPr>
            <w:tcW w:w="1170" w:type="dxa"/>
            <w:tcBorders>
              <w:top w:val="nil"/>
              <w:left w:val="nil"/>
              <w:bottom w:val="single" w:sz="4" w:space="0" w:color="auto"/>
              <w:right w:val="single" w:sz="4" w:space="0" w:color="auto"/>
            </w:tcBorders>
            <w:shd w:val="clear" w:color="auto" w:fill="auto"/>
            <w:noWrap/>
            <w:vAlign w:val="bottom"/>
            <w:hideMark/>
          </w:tcPr>
          <w:p w14:paraId="78132F38" w14:textId="3A187EB2"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r>
      <w:tr w:rsidR="00CF4EDE" w:rsidRPr="00704D55" w14:paraId="0A0B495E" w14:textId="77777777" w:rsidTr="003C5358">
        <w:trPr>
          <w:trHeight w:val="240"/>
          <w:jc w:val="center"/>
        </w:trPr>
        <w:tc>
          <w:tcPr>
            <w:tcW w:w="1170" w:type="dxa"/>
            <w:vMerge/>
            <w:tcBorders>
              <w:top w:val="single" w:sz="4" w:space="0" w:color="auto"/>
              <w:left w:val="single" w:sz="4" w:space="0" w:color="auto"/>
              <w:bottom w:val="single" w:sz="4" w:space="0" w:color="auto"/>
              <w:right w:val="single" w:sz="4" w:space="0" w:color="auto"/>
            </w:tcBorders>
            <w:vAlign w:val="center"/>
            <w:hideMark/>
          </w:tcPr>
          <w:p w14:paraId="1D96A93C"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val="restart"/>
            <w:tcBorders>
              <w:top w:val="nil"/>
              <w:left w:val="single" w:sz="4" w:space="0" w:color="auto"/>
              <w:bottom w:val="single" w:sz="4" w:space="0" w:color="auto"/>
              <w:right w:val="single" w:sz="4" w:space="0" w:color="auto"/>
            </w:tcBorders>
            <w:shd w:val="clear" w:color="auto" w:fill="auto"/>
            <w:vAlign w:val="center"/>
            <w:hideMark/>
          </w:tcPr>
          <w:p w14:paraId="37E71A18" w14:textId="77777777"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35dB image</w:t>
            </w:r>
          </w:p>
        </w:tc>
        <w:tc>
          <w:tcPr>
            <w:tcW w:w="1025" w:type="dxa"/>
            <w:tcBorders>
              <w:top w:val="nil"/>
              <w:left w:val="nil"/>
              <w:bottom w:val="single" w:sz="4" w:space="0" w:color="auto"/>
              <w:right w:val="single" w:sz="4" w:space="0" w:color="auto"/>
            </w:tcBorders>
            <w:shd w:val="clear" w:color="auto" w:fill="auto"/>
            <w:noWrap/>
            <w:vAlign w:val="center"/>
            <w:hideMark/>
          </w:tcPr>
          <w:p w14:paraId="37E0E682"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12RB_0</w:t>
            </w:r>
          </w:p>
        </w:tc>
        <w:tc>
          <w:tcPr>
            <w:tcW w:w="516" w:type="dxa"/>
            <w:tcBorders>
              <w:top w:val="nil"/>
              <w:left w:val="nil"/>
              <w:bottom w:val="single" w:sz="4" w:space="0" w:color="auto"/>
              <w:right w:val="single" w:sz="4" w:space="0" w:color="auto"/>
            </w:tcBorders>
            <w:shd w:val="clear" w:color="000000" w:fill="A9D08E"/>
            <w:noWrap/>
            <w:vAlign w:val="center"/>
            <w:hideMark/>
          </w:tcPr>
          <w:p w14:paraId="49F7D04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w:t>
            </w:r>
          </w:p>
        </w:tc>
        <w:tc>
          <w:tcPr>
            <w:tcW w:w="419" w:type="dxa"/>
            <w:tcBorders>
              <w:top w:val="nil"/>
              <w:left w:val="nil"/>
              <w:bottom w:val="single" w:sz="4" w:space="0" w:color="auto"/>
              <w:right w:val="single" w:sz="4" w:space="0" w:color="auto"/>
            </w:tcBorders>
            <w:shd w:val="clear" w:color="000000" w:fill="A9D08E"/>
            <w:noWrap/>
            <w:vAlign w:val="center"/>
            <w:hideMark/>
          </w:tcPr>
          <w:p w14:paraId="42FD554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000000" w:fill="A9D08E"/>
            <w:noWrap/>
            <w:vAlign w:val="center"/>
            <w:hideMark/>
          </w:tcPr>
          <w:p w14:paraId="0BBE8FA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w:t>
            </w:r>
          </w:p>
        </w:tc>
        <w:tc>
          <w:tcPr>
            <w:tcW w:w="419" w:type="dxa"/>
            <w:tcBorders>
              <w:top w:val="nil"/>
              <w:left w:val="nil"/>
              <w:bottom w:val="single" w:sz="4" w:space="0" w:color="auto"/>
              <w:right w:val="single" w:sz="4" w:space="0" w:color="auto"/>
            </w:tcBorders>
            <w:shd w:val="clear" w:color="000000" w:fill="A9D08E"/>
            <w:noWrap/>
            <w:vAlign w:val="center"/>
            <w:hideMark/>
          </w:tcPr>
          <w:p w14:paraId="289A500A"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71" w:type="dxa"/>
            <w:tcBorders>
              <w:top w:val="nil"/>
              <w:left w:val="nil"/>
              <w:bottom w:val="single" w:sz="4" w:space="0" w:color="auto"/>
              <w:right w:val="single" w:sz="4" w:space="0" w:color="auto"/>
            </w:tcBorders>
            <w:shd w:val="clear" w:color="000000" w:fill="A9D08E"/>
            <w:noWrap/>
            <w:vAlign w:val="center"/>
            <w:hideMark/>
          </w:tcPr>
          <w:p w14:paraId="42FD5CF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w:t>
            </w:r>
          </w:p>
        </w:tc>
        <w:tc>
          <w:tcPr>
            <w:tcW w:w="450" w:type="dxa"/>
            <w:tcBorders>
              <w:top w:val="nil"/>
              <w:left w:val="nil"/>
              <w:bottom w:val="single" w:sz="4" w:space="0" w:color="auto"/>
              <w:right w:val="single" w:sz="4" w:space="0" w:color="auto"/>
            </w:tcBorders>
            <w:shd w:val="clear" w:color="000000" w:fill="A9D08E"/>
            <w:noWrap/>
            <w:vAlign w:val="center"/>
            <w:hideMark/>
          </w:tcPr>
          <w:p w14:paraId="0CE40E3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41" w:type="dxa"/>
            <w:tcBorders>
              <w:top w:val="nil"/>
              <w:left w:val="nil"/>
              <w:bottom w:val="single" w:sz="4" w:space="0" w:color="auto"/>
              <w:right w:val="single" w:sz="4" w:space="0" w:color="auto"/>
            </w:tcBorders>
            <w:shd w:val="clear" w:color="000000" w:fill="A9D08E"/>
            <w:noWrap/>
            <w:vAlign w:val="center"/>
            <w:hideMark/>
          </w:tcPr>
          <w:p w14:paraId="24029E24"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120</w:t>
            </w:r>
          </w:p>
        </w:tc>
        <w:tc>
          <w:tcPr>
            <w:tcW w:w="539" w:type="dxa"/>
            <w:tcBorders>
              <w:top w:val="nil"/>
              <w:left w:val="nil"/>
              <w:bottom w:val="single" w:sz="4" w:space="0" w:color="auto"/>
              <w:right w:val="single" w:sz="4" w:space="0" w:color="auto"/>
            </w:tcBorders>
            <w:shd w:val="clear" w:color="000000" w:fill="A9D08E"/>
            <w:noWrap/>
            <w:vAlign w:val="center"/>
            <w:hideMark/>
          </w:tcPr>
          <w:p w14:paraId="1379811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1.5</w:t>
            </w:r>
          </w:p>
        </w:tc>
        <w:tc>
          <w:tcPr>
            <w:tcW w:w="630" w:type="dxa"/>
            <w:tcBorders>
              <w:top w:val="nil"/>
              <w:left w:val="nil"/>
              <w:bottom w:val="single" w:sz="4" w:space="0" w:color="auto"/>
              <w:right w:val="single" w:sz="4" w:space="0" w:color="auto"/>
            </w:tcBorders>
            <w:shd w:val="clear" w:color="000000" w:fill="A9D08E"/>
            <w:noWrap/>
            <w:vAlign w:val="center"/>
            <w:hideMark/>
          </w:tcPr>
          <w:p w14:paraId="375A9AD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540" w:type="dxa"/>
            <w:tcBorders>
              <w:top w:val="nil"/>
              <w:left w:val="nil"/>
              <w:bottom w:val="single" w:sz="4" w:space="0" w:color="auto"/>
              <w:right w:val="single" w:sz="4" w:space="0" w:color="auto"/>
            </w:tcBorders>
            <w:shd w:val="clear" w:color="000000" w:fill="A9D08E"/>
            <w:noWrap/>
            <w:vAlign w:val="center"/>
            <w:hideMark/>
          </w:tcPr>
          <w:p w14:paraId="29F3D0A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w:t>
            </w:r>
          </w:p>
        </w:tc>
        <w:tc>
          <w:tcPr>
            <w:tcW w:w="630" w:type="dxa"/>
            <w:tcBorders>
              <w:top w:val="nil"/>
              <w:left w:val="nil"/>
              <w:bottom w:val="single" w:sz="4" w:space="0" w:color="auto"/>
              <w:right w:val="single" w:sz="4" w:space="0" w:color="auto"/>
            </w:tcBorders>
            <w:shd w:val="clear" w:color="000000" w:fill="A9D08E"/>
            <w:noWrap/>
            <w:vAlign w:val="center"/>
            <w:hideMark/>
          </w:tcPr>
          <w:p w14:paraId="09984B4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240</w:t>
            </w:r>
          </w:p>
        </w:tc>
        <w:tc>
          <w:tcPr>
            <w:tcW w:w="540" w:type="dxa"/>
            <w:tcBorders>
              <w:top w:val="nil"/>
              <w:left w:val="nil"/>
              <w:bottom w:val="single" w:sz="4" w:space="0" w:color="auto"/>
              <w:right w:val="single" w:sz="4" w:space="0" w:color="auto"/>
            </w:tcBorders>
            <w:shd w:val="clear" w:color="000000" w:fill="A9D08E"/>
            <w:noWrap/>
            <w:vAlign w:val="center"/>
            <w:hideMark/>
          </w:tcPr>
          <w:p w14:paraId="328C5D2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w:t>
            </w:r>
          </w:p>
        </w:tc>
        <w:tc>
          <w:tcPr>
            <w:tcW w:w="1170" w:type="dxa"/>
            <w:tcBorders>
              <w:top w:val="nil"/>
              <w:left w:val="nil"/>
              <w:bottom w:val="single" w:sz="4" w:space="0" w:color="auto"/>
              <w:right w:val="single" w:sz="4" w:space="0" w:color="auto"/>
            </w:tcBorders>
            <w:shd w:val="clear" w:color="000000" w:fill="A9D08E"/>
            <w:noWrap/>
            <w:vAlign w:val="bottom"/>
            <w:hideMark/>
          </w:tcPr>
          <w:p w14:paraId="4DDF494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FDDimp</w:t>
            </w:r>
          </w:p>
        </w:tc>
      </w:tr>
      <w:tr w:rsidR="00EF027D" w:rsidRPr="00704D55" w14:paraId="2BD7CB1D" w14:textId="77777777" w:rsidTr="003C5358">
        <w:trPr>
          <w:trHeight w:val="240"/>
          <w:jc w:val="center"/>
        </w:trPr>
        <w:tc>
          <w:tcPr>
            <w:tcW w:w="1170" w:type="dxa"/>
            <w:vMerge/>
            <w:tcBorders>
              <w:top w:val="single" w:sz="4" w:space="0" w:color="auto"/>
              <w:left w:val="single" w:sz="4" w:space="0" w:color="auto"/>
              <w:bottom w:val="single" w:sz="4" w:space="0" w:color="auto"/>
              <w:right w:val="single" w:sz="4" w:space="0" w:color="auto"/>
            </w:tcBorders>
            <w:vAlign w:val="center"/>
            <w:hideMark/>
          </w:tcPr>
          <w:p w14:paraId="6E0A5870"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1DEFB0DC"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0F609841"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1RB_35_0</w:t>
            </w:r>
          </w:p>
        </w:tc>
        <w:tc>
          <w:tcPr>
            <w:tcW w:w="516" w:type="dxa"/>
            <w:tcBorders>
              <w:top w:val="nil"/>
              <w:left w:val="nil"/>
              <w:bottom w:val="single" w:sz="4" w:space="0" w:color="auto"/>
              <w:right w:val="single" w:sz="4" w:space="0" w:color="auto"/>
            </w:tcBorders>
            <w:shd w:val="clear" w:color="auto" w:fill="auto"/>
            <w:noWrap/>
            <w:vAlign w:val="center"/>
            <w:hideMark/>
          </w:tcPr>
          <w:p w14:paraId="07BDAF2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w:t>
            </w:r>
          </w:p>
        </w:tc>
        <w:tc>
          <w:tcPr>
            <w:tcW w:w="419" w:type="dxa"/>
            <w:tcBorders>
              <w:top w:val="nil"/>
              <w:left w:val="nil"/>
              <w:bottom w:val="single" w:sz="4" w:space="0" w:color="auto"/>
              <w:right w:val="single" w:sz="4" w:space="0" w:color="auto"/>
            </w:tcBorders>
            <w:shd w:val="clear" w:color="auto" w:fill="auto"/>
            <w:noWrap/>
            <w:vAlign w:val="center"/>
            <w:hideMark/>
          </w:tcPr>
          <w:p w14:paraId="12F57E8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auto"/>
            <w:noWrap/>
            <w:vAlign w:val="center"/>
            <w:hideMark/>
          </w:tcPr>
          <w:p w14:paraId="6F04CC1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w:t>
            </w:r>
          </w:p>
        </w:tc>
        <w:tc>
          <w:tcPr>
            <w:tcW w:w="419" w:type="dxa"/>
            <w:tcBorders>
              <w:top w:val="nil"/>
              <w:left w:val="nil"/>
              <w:bottom w:val="single" w:sz="4" w:space="0" w:color="auto"/>
              <w:right w:val="single" w:sz="4" w:space="0" w:color="auto"/>
            </w:tcBorders>
            <w:shd w:val="clear" w:color="auto" w:fill="auto"/>
            <w:noWrap/>
            <w:vAlign w:val="center"/>
            <w:hideMark/>
          </w:tcPr>
          <w:p w14:paraId="2615E17A"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71" w:type="dxa"/>
            <w:tcBorders>
              <w:top w:val="nil"/>
              <w:left w:val="nil"/>
              <w:bottom w:val="single" w:sz="4" w:space="0" w:color="auto"/>
              <w:right w:val="single" w:sz="4" w:space="0" w:color="auto"/>
            </w:tcBorders>
            <w:shd w:val="clear" w:color="auto" w:fill="auto"/>
            <w:noWrap/>
            <w:vAlign w:val="center"/>
            <w:hideMark/>
          </w:tcPr>
          <w:p w14:paraId="3077C07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120</w:t>
            </w:r>
          </w:p>
        </w:tc>
        <w:tc>
          <w:tcPr>
            <w:tcW w:w="450" w:type="dxa"/>
            <w:tcBorders>
              <w:top w:val="nil"/>
              <w:left w:val="nil"/>
              <w:bottom w:val="single" w:sz="4" w:space="0" w:color="auto"/>
              <w:right w:val="single" w:sz="4" w:space="0" w:color="auto"/>
            </w:tcBorders>
            <w:shd w:val="clear" w:color="auto" w:fill="auto"/>
            <w:noWrap/>
            <w:vAlign w:val="center"/>
            <w:hideMark/>
          </w:tcPr>
          <w:p w14:paraId="7D1E6E9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1.5</w:t>
            </w:r>
          </w:p>
        </w:tc>
        <w:tc>
          <w:tcPr>
            <w:tcW w:w="541" w:type="dxa"/>
            <w:tcBorders>
              <w:top w:val="nil"/>
              <w:left w:val="nil"/>
              <w:bottom w:val="single" w:sz="4" w:space="0" w:color="auto"/>
              <w:right w:val="single" w:sz="4" w:space="0" w:color="auto"/>
            </w:tcBorders>
            <w:shd w:val="clear" w:color="auto" w:fill="auto"/>
            <w:noWrap/>
            <w:vAlign w:val="center"/>
            <w:hideMark/>
          </w:tcPr>
          <w:p w14:paraId="138571E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539" w:type="dxa"/>
            <w:tcBorders>
              <w:top w:val="nil"/>
              <w:left w:val="nil"/>
              <w:bottom w:val="single" w:sz="4" w:space="0" w:color="auto"/>
              <w:right w:val="single" w:sz="4" w:space="0" w:color="auto"/>
            </w:tcBorders>
            <w:shd w:val="clear" w:color="auto" w:fill="auto"/>
            <w:noWrap/>
            <w:vAlign w:val="center"/>
            <w:hideMark/>
          </w:tcPr>
          <w:p w14:paraId="016F2C5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w:t>
            </w:r>
          </w:p>
        </w:tc>
        <w:tc>
          <w:tcPr>
            <w:tcW w:w="630" w:type="dxa"/>
            <w:tcBorders>
              <w:top w:val="nil"/>
              <w:left w:val="nil"/>
              <w:bottom w:val="single" w:sz="4" w:space="0" w:color="auto"/>
              <w:right w:val="single" w:sz="4" w:space="0" w:color="auto"/>
            </w:tcBorders>
            <w:shd w:val="clear" w:color="auto" w:fill="auto"/>
            <w:noWrap/>
            <w:vAlign w:val="center"/>
            <w:hideMark/>
          </w:tcPr>
          <w:p w14:paraId="2104F0C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200</w:t>
            </w:r>
          </w:p>
        </w:tc>
        <w:tc>
          <w:tcPr>
            <w:tcW w:w="540" w:type="dxa"/>
            <w:tcBorders>
              <w:top w:val="nil"/>
              <w:left w:val="nil"/>
              <w:bottom w:val="single" w:sz="4" w:space="0" w:color="auto"/>
              <w:right w:val="single" w:sz="4" w:space="0" w:color="auto"/>
            </w:tcBorders>
            <w:shd w:val="clear" w:color="auto" w:fill="auto"/>
            <w:noWrap/>
            <w:vAlign w:val="center"/>
            <w:hideMark/>
          </w:tcPr>
          <w:p w14:paraId="5594EC3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2.5</w:t>
            </w:r>
          </w:p>
        </w:tc>
        <w:tc>
          <w:tcPr>
            <w:tcW w:w="630" w:type="dxa"/>
            <w:tcBorders>
              <w:top w:val="nil"/>
              <w:left w:val="nil"/>
              <w:bottom w:val="single" w:sz="4" w:space="0" w:color="auto"/>
              <w:right w:val="single" w:sz="4" w:space="0" w:color="auto"/>
            </w:tcBorders>
            <w:shd w:val="clear" w:color="auto" w:fill="auto"/>
            <w:noWrap/>
            <w:vAlign w:val="center"/>
            <w:hideMark/>
          </w:tcPr>
          <w:p w14:paraId="4D36BFA0"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230</w:t>
            </w:r>
          </w:p>
        </w:tc>
        <w:tc>
          <w:tcPr>
            <w:tcW w:w="540" w:type="dxa"/>
            <w:tcBorders>
              <w:top w:val="nil"/>
              <w:left w:val="nil"/>
              <w:bottom w:val="single" w:sz="4" w:space="0" w:color="auto"/>
              <w:right w:val="single" w:sz="4" w:space="0" w:color="auto"/>
            </w:tcBorders>
            <w:shd w:val="clear" w:color="auto" w:fill="auto"/>
            <w:noWrap/>
            <w:vAlign w:val="center"/>
            <w:hideMark/>
          </w:tcPr>
          <w:p w14:paraId="486243C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2.9</w:t>
            </w:r>
          </w:p>
        </w:tc>
        <w:tc>
          <w:tcPr>
            <w:tcW w:w="1170" w:type="dxa"/>
            <w:tcBorders>
              <w:top w:val="nil"/>
              <w:left w:val="nil"/>
              <w:bottom w:val="single" w:sz="4" w:space="0" w:color="auto"/>
              <w:right w:val="single" w:sz="4" w:space="0" w:color="auto"/>
            </w:tcBorders>
            <w:shd w:val="clear" w:color="auto" w:fill="auto"/>
            <w:noWrap/>
            <w:vAlign w:val="bottom"/>
            <w:hideMark/>
          </w:tcPr>
          <w:p w14:paraId="7CCEFD49" w14:textId="58C13DE4"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r>
      <w:tr w:rsidR="003C5358" w:rsidRPr="00704D55" w14:paraId="4784CF3F" w14:textId="77777777" w:rsidTr="003C5358">
        <w:trPr>
          <w:trHeight w:val="240"/>
          <w:jc w:val="center"/>
        </w:trPr>
        <w:tc>
          <w:tcPr>
            <w:tcW w:w="1170" w:type="dxa"/>
            <w:vMerge w:val="restart"/>
            <w:tcBorders>
              <w:top w:val="nil"/>
              <w:left w:val="single" w:sz="4" w:space="0" w:color="auto"/>
              <w:bottom w:val="single" w:sz="4" w:space="0" w:color="auto"/>
              <w:right w:val="single" w:sz="4" w:space="0" w:color="auto"/>
            </w:tcBorders>
            <w:shd w:val="clear" w:color="auto" w:fill="auto"/>
            <w:vAlign w:val="center"/>
            <w:hideMark/>
          </w:tcPr>
          <w:p w14:paraId="0CD6945D" w14:textId="1D955D4B"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fr-FR" w:eastAsia="en-US"/>
              </w:rPr>
            </w:pPr>
            <w:r w:rsidRPr="00EF027D">
              <w:rPr>
                <w:rFonts w:asciiTheme="minorHAnsi" w:hAnsiTheme="minorHAnsi" w:cstheme="minorHAnsi"/>
                <w:color w:val="000000"/>
                <w:sz w:val="16"/>
                <w:szCs w:val="16"/>
                <w:lang w:val="fr-FR" w:eastAsia="en-US"/>
              </w:rPr>
              <w:t xml:space="preserve">ULCA MPR0: </w:t>
            </w:r>
          </w:p>
          <w:p w14:paraId="55C52F37" w14:textId="77777777"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fr-FR" w:eastAsia="en-US"/>
              </w:rPr>
            </w:pPr>
            <w:r w:rsidRPr="00EF027D">
              <w:rPr>
                <w:rFonts w:asciiTheme="minorHAnsi" w:hAnsiTheme="minorHAnsi" w:cstheme="minorHAnsi"/>
                <w:color w:val="000000"/>
                <w:sz w:val="16"/>
                <w:szCs w:val="16"/>
                <w:lang w:val="fr-FR" w:eastAsia="en-US"/>
              </w:rPr>
              <w:t>max distance 2xLCRB1/2</w:t>
            </w:r>
          </w:p>
          <w:p w14:paraId="1097D91A" w14:textId="1F06750D"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fr-FR" w:eastAsia="en-US"/>
              </w:rPr>
            </w:pPr>
            <w:r w:rsidRPr="00EF027D">
              <w:rPr>
                <w:rFonts w:asciiTheme="minorHAnsi" w:hAnsiTheme="minorHAnsi" w:cstheme="minorHAnsi"/>
                <w:color w:val="000000"/>
                <w:sz w:val="16"/>
                <w:szCs w:val="16"/>
                <w:lang w:val="fr-FR" w:eastAsia="en-US"/>
              </w:rPr>
              <w:t>_MPR</w:t>
            </w:r>
          </w:p>
        </w:tc>
        <w:tc>
          <w:tcPr>
            <w:tcW w:w="658" w:type="dxa"/>
            <w:vMerge w:val="restart"/>
            <w:tcBorders>
              <w:top w:val="nil"/>
              <w:left w:val="single" w:sz="4" w:space="0" w:color="auto"/>
              <w:bottom w:val="single" w:sz="4" w:space="0" w:color="auto"/>
              <w:right w:val="single" w:sz="4" w:space="0" w:color="auto"/>
            </w:tcBorders>
            <w:shd w:val="clear" w:color="auto" w:fill="auto"/>
            <w:vAlign w:val="center"/>
            <w:hideMark/>
          </w:tcPr>
          <w:p w14:paraId="2C706B73" w14:textId="77777777"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H1</w:t>
            </w:r>
          </w:p>
        </w:tc>
        <w:tc>
          <w:tcPr>
            <w:tcW w:w="1025" w:type="dxa"/>
            <w:tcBorders>
              <w:top w:val="nil"/>
              <w:left w:val="nil"/>
              <w:bottom w:val="single" w:sz="4" w:space="0" w:color="auto"/>
              <w:right w:val="single" w:sz="4" w:space="0" w:color="auto"/>
            </w:tcBorders>
            <w:shd w:val="clear" w:color="auto" w:fill="auto"/>
            <w:noWrap/>
            <w:vAlign w:val="center"/>
            <w:hideMark/>
          </w:tcPr>
          <w:p w14:paraId="6FD6ECAC"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2x216RB_0</w:t>
            </w:r>
          </w:p>
        </w:tc>
        <w:tc>
          <w:tcPr>
            <w:tcW w:w="516" w:type="dxa"/>
            <w:tcBorders>
              <w:top w:val="nil"/>
              <w:left w:val="nil"/>
              <w:bottom w:val="single" w:sz="4" w:space="0" w:color="auto"/>
              <w:right w:val="single" w:sz="4" w:space="0" w:color="auto"/>
            </w:tcBorders>
            <w:shd w:val="clear" w:color="auto" w:fill="FFFF00"/>
            <w:noWrap/>
            <w:vAlign w:val="center"/>
            <w:hideMark/>
          </w:tcPr>
          <w:p w14:paraId="234270C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FFFF00"/>
            <w:noWrap/>
            <w:vAlign w:val="center"/>
            <w:hideMark/>
          </w:tcPr>
          <w:p w14:paraId="46ED6A8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FFFF00"/>
            <w:noWrap/>
            <w:vAlign w:val="center"/>
            <w:hideMark/>
          </w:tcPr>
          <w:p w14:paraId="1D1C3D3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FFFF00"/>
            <w:noWrap/>
            <w:vAlign w:val="center"/>
            <w:hideMark/>
          </w:tcPr>
          <w:p w14:paraId="5F64689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71" w:type="dxa"/>
            <w:tcBorders>
              <w:top w:val="nil"/>
              <w:left w:val="nil"/>
              <w:bottom w:val="single" w:sz="4" w:space="0" w:color="auto"/>
              <w:right w:val="single" w:sz="4" w:space="0" w:color="auto"/>
            </w:tcBorders>
            <w:shd w:val="clear" w:color="auto" w:fill="FFFF00"/>
            <w:noWrap/>
            <w:vAlign w:val="center"/>
            <w:hideMark/>
          </w:tcPr>
          <w:p w14:paraId="2A0CBF3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300</w:t>
            </w:r>
          </w:p>
        </w:tc>
        <w:tc>
          <w:tcPr>
            <w:tcW w:w="450" w:type="dxa"/>
            <w:tcBorders>
              <w:top w:val="nil"/>
              <w:left w:val="nil"/>
              <w:bottom w:val="single" w:sz="4" w:space="0" w:color="auto"/>
              <w:right w:val="single" w:sz="4" w:space="0" w:color="auto"/>
            </w:tcBorders>
            <w:shd w:val="clear" w:color="auto" w:fill="FFFF00"/>
            <w:noWrap/>
            <w:vAlign w:val="center"/>
            <w:hideMark/>
          </w:tcPr>
          <w:p w14:paraId="460FBB4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1.9</w:t>
            </w:r>
          </w:p>
        </w:tc>
        <w:tc>
          <w:tcPr>
            <w:tcW w:w="541" w:type="dxa"/>
            <w:tcBorders>
              <w:top w:val="nil"/>
              <w:left w:val="nil"/>
              <w:bottom w:val="single" w:sz="4" w:space="0" w:color="auto"/>
              <w:right w:val="single" w:sz="4" w:space="0" w:color="auto"/>
            </w:tcBorders>
            <w:shd w:val="clear" w:color="auto" w:fill="FFFF00"/>
            <w:noWrap/>
            <w:vAlign w:val="center"/>
            <w:hideMark/>
          </w:tcPr>
          <w:p w14:paraId="64916684"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440</w:t>
            </w:r>
          </w:p>
        </w:tc>
        <w:tc>
          <w:tcPr>
            <w:tcW w:w="539" w:type="dxa"/>
            <w:tcBorders>
              <w:top w:val="nil"/>
              <w:left w:val="nil"/>
              <w:bottom w:val="single" w:sz="4" w:space="0" w:color="auto"/>
              <w:right w:val="single" w:sz="4" w:space="0" w:color="auto"/>
            </w:tcBorders>
            <w:shd w:val="clear" w:color="auto" w:fill="FFFF00"/>
            <w:noWrap/>
            <w:vAlign w:val="center"/>
            <w:hideMark/>
          </w:tcPr>
          <w:p w14:paraId="3916C53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2.8</w:t>
            </w:r>
          </w:p>
        </w:tc>
        <w:tc>
          <w:tcPr>
            <w:tcW w:w="630" w:type="dxa"/>
            <w:tcBorders>
              <w:top w:val="nil"/>
              <w:left w:val="nil"/>
              <w:bottom w:val="single" w:sz="4" w:space="0" w:color="auto"/>
              <w:right w:val="single" w:sz="4" w:space="0" w:color="auto"/>
            </w:tcBorders>
            <w:shd w:val="clear" w:color="auto" w:fill="FFFF00"/>
            <w:noWrap/>
            <w:vAlign w:val="center"/>
            <w:hideMark/>
          </w:tcPr>
          <w:p w14:paraId="3998EB6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960</w:t>
            </w:r>
          </w:p>
        </w:tc>
        <w:tc>
          <w:tcPr>
            <w:tcW w:w="540" w:type="dxa"/>
            <w:tcBorders>
              <w:top w:val="nil"/>
              <w:left w:val="nil"/>
              <w:bottom w:val="single" w:sz="4" w:space="0" w:color="auto"/>
              <w:right w:val="single" w:sz="4" w:space="0" w:color="auto"/>
            </w:tcBorders>
            <w:shd w:val="clear" w:color="auto" w:fill="FFFF00"/>
            <w:noWrap/>
            <w:vAlign w:val="center"/>
            <w:hideMark/>
          </w:tcPr>
          <w:p w14:paraId="3A8CBEF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6.0</w:t>
            </w:r>
          </w:p>
        </w:tc>
        <w:tc>
          <w:tcPr>
            <w:tcW w:w="630" w:type="dxa"/>
            <w:tcBorders>
              <w:top w:val="nil"/>
              <w:left w:val="nil"/>
              <w:bottom w:val="single" w:sz="4" w:space="0" w:color="auto"/>
              <w:right w:val="single" w:sz="4" w:space="0" w:color="auto"/>
            </w:tcBorders>
            <w:shd w:val="clear" w:color="auto" w:fill="FFFF00"/>
            <w:noWrap/>
            <w:vAlign w:val="center"/>
            <w:hideMark/>
          </w:tcPr>
          <w:p w14:paraId="4487DC8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1220</w:t>
            </w:r>
          </w:p>
        </w:tc>
        <w:tc>
          <w:tcPr>
            <w:tcW w:w="540" w:type="dxa"/>
            <w:tcBorders>
              <w:top w:val="nil"/>
              <w:left w:val="nil"/>
              <w:bottom w:val="single" w:sz="4" w:space="0" w:color="auto"/>
              <w:right w:val="single" w:sz="4" w:space="0" w:color="auto"/>
            </w:tcBorders>
            <w:shd w:val="clear" w:color="auto" w:fill="FFFF00"/>
            <w:noWrap/>
            <w:vAlign w:val="center"/>
            <w:hideMark/>
          </w:tcPr>
          <w:p w14:paraId="2B251BF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7.6</w:t>
            </w:r>
          </w:p>
        </w:tc>
        <w:tc>
          <w:tcPr>
            <w:tcW w:w="1170" w:type="dxa"/>
            <w:tcBorders>
              <w:top w:val="nil"/>
              <w:left w:val="nil"/>
              <w:bottom w:val="single" w:sz="4" w:space="0" w:color="auto"/>
              <w:right w:val="single" w:sz="4" w:space="0" w:color="auto"/>
            </w:tcBorders>
            <w:shd w:val="clear" w:color="auto" w:fill="FFFF00"/>
            <w:noWrap/>
            <w:vAlign w:val="bottom"/>
            <w:hideMark/>
          </w:tcPr>
          <w:p w14:paraId="49AE872E" w14:textId="61488B86"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TDD</w:t>
            </w:r>
            <w:r w:rsidR="003C5358">
              <w:rPr>
                <w:rFonts w:asciiTheme="minorHAnsi" w:hAnsiTheme="minorHAnsi" w:cstheme="minorHAnsi"/>
                <w:color w:val="000000"/>
                <w:sz w:val="16"/>
                <w:szCs w:val="16"/>
                <w:lang w:val="en-US" w:eastAsia="en-US"/>
              </w:rPr>
              <w:t>_C</w:t>
            </w:r>
            <w:r w:rsidRPr="00EF027D">
              <w:rPr>
                <w:rFonts w:asciiTheme="minorHAnsi" w:hAnsiTheme="minorHAnsi" w:cstheme="minorHAnsi"/>
                <w:color w:val="000000"/>
                <w:sz w:val="16"/>
                <w:szCs w:val="16"/>
                <w:lang w:val="en-US" w:eastAsia="en-US"/>
              </w:rPr>
              <w:t>new?</w:t>
            </w:r>
          </w:p>
        </w:tc>
      </w:tr>
      <w:tr w:rsidR="003C5358" w:rsidRPr="00704D55" w14:paraId="1E0C1EED" w14:textId="77777777" w:rsidTr="003C535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4D0F6E11"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63FE5545"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2F1A22C4"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2x100RB_0</w:t>
            </w:r>
          </w:p>
        </w:tc>
        <w:tc>
          <w:tcPr>
            <w:tcW w:w="516" w:type="dxa"/>
            <w:tcBorders>
              <w:top w:val="nil"/>
              <w:left w:val="nil"/>
              <w:bottom w:val="single" w:sz="4" w:space="0" w:color="auto"/>
              <w:right w:val="single" w:sz="4" w:space="0" w:color="auto"/>
            </w:tcBorders>
            <w:shd w:val="clear" w:color="auto" w:fill="FFC000"/>
            <w:noWrap/>
            <w:vAlign w:val="center"/>
            <w:hideMark/>
          </w:tcPr>
          <w:p w14:paraId="18B485DC"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FFC000"/>
            <w:noWrap/>
            <w:vAlign w:val="center"/>
            <w:hideMark/>
          </w:tcPr>
          <w:p w14:paraId="607FF56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FFC000"/>
            <w:noWrap/>
            <w:vAlign w:val="center"/>
            <w:hideMark/>
          </w:tcPr>
          <w:p w14:paraId="27F752C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FFC000"/>
            <w:noWrap/>
            <w:vAlign w:val="center"/>
            <w:hideMark/>
          </w:tcPr>
          <w:p w14:paraId="562E8F2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71" w:type="dxa"/>
            <w:tcBorders>
              <w:top w:val="nil"/>
              <w:left w:val="nil"/>
              <w:bottom w:val="single" w:sz="4" w:space="0" w:color="auto"/>
              <w:right w:val="single" w:sz="4" w:space="0" w:color="auto"/>
            </w:tcBorders>
            <w:shd w:val="clear" w:color="auto" w:fill="FFC000"/>
            <w:noWrap/>
            <w:vAlign w:val="center"/>
            <w:hideMark/>
          </w:tcPr>
          <w:p w14:paraId="5335B6BC"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400</w:t>
            </w:r>
          </w:p>
        </w:tc>
        <w:tc>
          <w:tcPr>
            <w:tcW w:w="450" w:type="dxa"/>
            <w:tcBorders>
              <w:top w:val="nil"/>
              <w:left w:val="nil"/>
              <w:bottom w:val="single" w:sz="4" w:space="0" w:color="auto"/>
              <w:right w:val="single" w:sz="4" w:space="0" w:color="auto"/>
            </w:tcBorders>
            <w:shd w:val="clear" w:color="auto" w:fill="FFC000"/>
            <w:noWrap/>
            <w:vAlign w:val="center"/>
            <w:hideMark/>
          </w:tcPr>
          <w:p w14:paraId="4EB02AA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2.5</w:t>
            </w:r>
          </w:p>
        </w:tc>
        <w:tc>
          <w:tcPr>
            <w:tcW w:w="541" w:type="dxa"/>
            <w:tcBorders>
              <w:top w:val="nil"/>
              <w:left w:val="nil"/>
              <w:bottom w:val="single" w:sz="4" w:space="0" w:color="auto"/>
              <w:right w:val="single" w:sz="4" w:space="0" w:color="auto"/>
            </w:tcBorders>
            <w:shd w:val="clear" w:color="auto" w:fill="FFC000"/>
            <w:noWrap/>
            <w:vAlign w:val="center"/>
            <w:hideMark/>
          </w:tcPr>
          <w:p w14:paraId="5761392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600</w:t>
            </w:r>
          </w:p>
        </w:tc>
        <w:tc>
          <w:tcPr>
            <w:tcW w:w="539" w:type="dxa"/>
            <w:tcBorders>
              <w:top w:val="nil"/>
              <w:left w:val="nil"/>
              <w:bottom w:val="single" w:sz="4" w:space="0" w:color="auto"/>
              <w:right w:val="single" w:sz="4" w:space="0" w:color="auto"/>
            </w:tcBorders>
            <w:shd w:val="clear" w:color="auto" w:fill="FFC000"/>
            <w:noWrap/>
            <w:vAlign w:val="center"/>
            <w:hideMark/>
          </w:tcPr>
          <w:p w14:paraId="47D9BFD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3.8</w:t>
            </w:r>
          </w:p>
        </w:tc>
        <w:tc>
          <w:tcPr>
            <w:tcW w:w="630" w:type="dxa"/>
            <w:tcBorders>
              <w:top w:val="nil"/>
              <w:left w:val="nil"/>
              <w:bottom w:val="single" w:sz="4" w:space="0" w:color="auto"/>
              <w:right w:val="single" w:sz="4" w:space="0" w:color="auto"/>
            </w:tcBorders>
            <w:shd w:val="clear" w:color="auto" w:fill="FFC000"/>
            <w:noWrap/>
            <w:vAlign w:val="center"/>
            <w:hideMark/>
          </w:tcPr>
          <w:p w14:paraId="07A189E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1020</w:t>
            </w:r>
          </w:p>
        </w:tc>
        <w:tc>
          <w:tcPr>
            <w:tcW w:w="540" w:type="dxa"/>
            <w:tcBorders>
              <w:top w:val="nil"/>
              <w:left w:val="nil"/>
              <w:bottom w:val="single" w:sz="4" w:space="0" w:color="auto"/>
              <w:right w:val="single" w:sz="4" w:space="0" w:color="auto"/>
            </w:tcBorders>
            <w:shd w:val="clear" w:color="auto" w:fill="FFC000"/>
            <w:noWrap/>
            <w:vAlign w:val="center"/>
            <w:hideMark/>
          </w:tcPr>
          <w:p w14:paraId="5B351560"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6.4</w:t>
            </w:r>
          </w:p>
        </w:tc>
        <w:tc>
          <w:tcPr>
            <w:tcW w:w="630" w:type="dxa"/>
            <w:tcBorders>
              <w:top w:val="nil"/>
              <w:left w:val="nil"/>
              <w:bottom w:val="single" w:sz="4" w:space="0" w:color="auto"/>
              <w:right w:val="single" w:sz="4" w:space="0" w:color="auto"/>
            </w:tcBorders>
            <w:shd w:val="clear" w:color="auto" w:fill="FFC000"/>
            <w:noWrap/>
            <w:vAlign w:val="center"/>
            <w:hideMark/>
          </w:tcPr>
          <w:p w14:paraId="1E81DA4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1460</w:t>
            </w:r>
          </w:p>
        </w:tc>
        <w:tc>
          <w:tcPr>
            <w:tcW w:w="540" w:type="dxa"/>
            <w:tcBorders>
              <w:top w:val="nil"/>
              <w:left w:val="nil"/>
              <w:bottom w:val="single" w:sz="4" w:space="0" w:color="auto"/>
              <w:right w:val="single" w:sz="4" w:space="0" w:color="auto"/>
            </w:tcBorders>
            <w:shd w:val="clear" w:color="auto" w:fill="FFC000"/>
            <w:noWrap/>
            <w:vAlign w:val="center"/>
            <w:hideMark/>
          </w:tcPr>
          <w:p w14:paraId="769F4D1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9.1</w:t>
            </w:r>
          </w:p>
        </w:tc>
        <w:tc>
          <w:tcPr>
            <w:tcW w:w="1170" w:type="dxa"/>
            <w:tcBorders>
              <w:top w:val="nil"/>
              <w:left w:val="nil"/>
              <w:bottom w:val="single" w:sz="4" w:space="0" w:color="auto"/>
              <w:right w:val="single" w:sz="4" w:space="0" w:color="auto"/>
            </w:tcBorders>
            <w:shd w:val="clear" w:color="auto" w:fill="FFC000"/>
            <w:noWrap/>
            <w:vAlign w:val="bottom"/>
            <w:hideMark/>
          </w:tcPr>
          <w:p w14:paraId="585DB596" w14:textId="58F5DE57" w:rsidR="00EF027D" w:rsidRPr="00EF027D" w:rsidRDefault="003C5358"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TDD</w:t>
            </w:r>
            <w:r>
              <w:rPr>
                <w:rFonts w:asciiTheme="minorHAnsi" w:hAnsiTheme="minorHAnsi" w:cstheme="minorHAnsi"/>
                <w:color w:val="000000"/>
                <w:sz w:val="16"/>
                <w:szCs w:val="16"/>
                <w:lang w:val="en-US" w:eastAsia="en-US"/>
              </w:rPr>
              <w:t>_NC</w:t>
            </w:r>
            <w:r w:rsidRPr="00EF027D">
              <w:rPr>
                <w:rFonts w:asciiTheme="minorHAnsi" w:hAnsiTheme="minorHAnsi" w:cstheme="minorHAnsi"/>
                <w:color w:val="000000"/>
                <w:sz w:val="16"/>
                <w:szCs w:val="16"/>
                <w:lang w:val="en-US" w:eastAsia="en-US"/>
              </w:rPr>
              <w:t>new?</w:t>
            </w:r>
          </w:p>
        </w:tc>
      </w:tr>
      <w:tr w:rsidR="00CF4EDE" w:rsidRPr="00704D55" w14:paraId="5A91EAA9" w14:textId="77777777" w:rsidTr="00925E3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520B1EFF"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0FB0FF9F"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144B2838"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2x012RB_0</w:t>
            </w:r>
          </w:p>
        </w:tc>
        <w:tc>
          <w:tcPr>
            <w:tcW w:w="516" w:type="dxa"/>
            <w:tcBorders>
              <w:top w:val="nil"/>
              <w:left w:val="nil"/>
              <w:bottom w:val="single" w:sz="4" w:space="0" w:color="auto"/>
              <w:right w:val="single" w:sz="4" w:space="0" w:color="auto"/>
            </w:tcBorders>
            <w:shd w:val="clear" w:color="auto" w:fill="FF0000"/>
            <w:noWrap/>
            <w:vAlign w:val="center"/>
            <w:hideMark/>
          </w:tcPr>
          <w:p w14:paraId="22529B5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FF0000"/>
            <w:noWrap/>
            <w:vAlign w:val="center"/>
            <w:hideMark/>
          </w:tcPr>
          <w:p w14:paraId="561D94B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FF0000"/>
            <w:noWrap/>
            <w:vAlign w:val="center"/>
            <w:hideMark/>
          </w:tcPr>
          <w:p w14:paraId="47DF415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480</w:t>
            </w:r>
          </w:p>
        </w:tc>
        <w:tc>
          <w:tcPr>
            <w:tcW w:w="419" w:type="dxa"/>
            <w:tcBorders>
              <w:top w:val="nil"/>
              <w:left w:val="nil"/>
              <w:bottom w:val="single" w:sz="4" w:space="0" w:color="auto"/>
              <w:right w:val="single" w:sz="4" w:space="0" w:color="auto"/>
            </w:tcBorders>
            <w:shd w:val="clear" w:color="auto" w:fill="FF0000"/>
            <w:noWrap/>
            <w:vAlign w:val="center"/>
            <w:hideMark/>
          </w:tcPr>
          <w:p w14:paraId="5AD99E8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w:t>
            </w:r>
          </w:p>
        </w:tc>
        <w:tc>
          <w:tcPr>
            <w:tcW w:w="571" w:type="dxa"/>
            <w:tcBorders>
              <w:top w:val="nil"/>
              <w:left w:val="nil"/>
              <w:bottom w:val="single" w:sz="4" w:space="0" w:color="auto"/>
              <w:right w:val="single" w:sz="4" w:space="0" w:color="auto"/>
            </w:tcBorders>
            <w:shd w:val="clear" w:color="auto" w:fill="FF0000"/>
            <w:noWrap/>
            <w:vAlign w:val="center"/>
            <w:hideMark/>
          </w:tcPr>
          <w:p w14:paraId="69A3CD00"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800</w:t>
            </w:r>
          </w:p>
        </w:tc>
        <w:tc>
          <w:tcPr>
            <w:tcW w:w="450" w:type="dxa"/>
            <w:tcBorders>
              <w:top w:val="nil"/>
              <w:left w:val="nil"/>
              <w:bottom w:val="single" w:sz="4" w:space="0" w:color="auto"/>
              <w:right w:val="single" w:sz="4" w:space="0" w:color="auto"/>
            </w:tcBorders>
            <w:shd w:val="clear" w:color="auto" w:fill="FF0000"/>
            <w:noWrap/>
            <w:vAlign w:val="center"/>
            <w:hideMark/>
          </w:tcPr>
          <w:p w14:paraId="4BFC740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5.0</w:t>
            </w:r>
          </w:p>
        </w:tc>
        <w:tc>
          <w:tcPr>
            <w:tcW w:w="541" w:type="dxa"/>
            <w:tcBorders>
              <w:top w:val="nil"/>
              <w:left w:val="nil"/>
              <w:bottom w:val="single" w:sz="4" w:space="0" w:color="auto"/>
              <w:right w:val="single" w:sz="4" w:space="0" w:color="auto"/>
            </w:tcBorders>
            <w:shd w:val="clear" w:color="auto" w:fill="FF0000"/>
            <w:noWrap/>
            <w:vAlign w:val="center"/>
            <w:hideMark/>
          </w:tcPr>
          <w:p w14:paraId="2EFC3A7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1120</w:t>
            </w:r>
          </w:p>
        </w:tc>
        <w:tc>
          <w:tcPr>
            <w:tcW w:w="539" w:type="dxa"/>
            <w:tcBorders>
              <w:top w:val="nil"/>
              <w:left w:val="nil"/>
              <w:bottom w:val="single" w:sz="4" w:space="0" w:color="auto"/>
              <w:right w:val="single" w:sz="4" w:space="0" w:color="auto"/>
            </w:tcBorders>
            <w:shd w:val="clear" w:color="auto" w:fill="FF0000"/>
            <w:noWrap/>
            <w:vAlign w:val="center"/>
            <w:hideMark/>
          </w:tcPr>
          <w:p w14:paraId="1D5C9040"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7.0</w:t>
            </w:r>
          </w:p>
        </w:tc>
        <w:tc>
          <w:tcPr>
            <w:tcW w:w="630" w:type="dxa"/>
            <w:tcBorders>
              <w:top w:val="nil"/>
              <w:left w:val="nil"/>
              <w:bottom w:val="single" w:sz="4" w:space="0" w:color="auto"/>
              <w:right w:val="single" w:sz="4" w:space="0" w:color="auto"/>
            </w:tcBorders>
            <w:shd w:val="clear" w:color="auto" w:fill="FF0000"/>
            <w:noWrap/>
            <w:vAlign w:val="center"/>
            <w:hideMark/>
          </w:tcPr>
          <w:p w14:paraId="03169BA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2080</w:t>
            </w:r>
          </w:p>
        </w:tc>
        <w:tc>
          <w:tcPr>
            <w:tcW w:w="540" w:type="dxa"/>
            <w:tcBorders>
              <w:top w:val="nil"/>
              <w:left w:val="nil"/>
              <w:bottom w:val="single" w:sz="4" w:space="0" w:color="auto"/>
              <w:right w:val="single" w:sz="4" w:space="0" w:color="auto"/>
            </w:tcBorders>
            <w:shd w:val="clear" w:color="auto" w:fill="FF0000"/>
            <w:noWrap/>
            <w:vAlign w:val="center"/>
            <w:hideMark/>
          </w:tcPr>
          <w:p w14:paraId="155D21B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13.0</w:t>
            </w:r>
          </w:p>
        </w:tc>
        <w:tc>
          <w:tcPr>
            <w:tcW w:w="630" w:type="dxa"/>
            <w:tcBorders>
              <w:top w:val="nil"/>
              <w:left w:val="nil"/>
              <w:bottom w:val="single" w:sz="4" w:space="0" w:color="auto"/>
              <w:right w:val="single" w:sz="4" w:space="0" w:color="auto"/>
            </w:tcBorders>
            <w:shd w:val="clear" w:color="auto" w:fill="FF0000"/>
            <w:noWrap/>
            <w:vAlign w:val="center"/>
            <w:hideMark/>
          </w:tcPr>
          <w:p w14:paraId="30E2519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2720</w:t>
            </w:r>
          </w:p>
        </w:tc>
        <w:tc>
          <w:tcPr>
            <w:tcW w:w="540" w:type="dxa"/>
            <w:tcBorders>
              <w:top w:val="nil"/>
              <w:left w:val="nil"/>
              <w:bottom w:val="single" w:sz="4" w:space="0" w:color="auto"/>
              <w:right w:val="single" w:sz="4" w:space="0" w:color="auto"/>
            </w:tcBorders>
            <w:shd w:val="clear" w:color="auto" w:fill="FF0000"/>
            <w:noWrap/>
            <w:vAlign w:val="center"/>
            <w:hideMark/>
          </w:tcPr>
          <w:p w14:paraId="75616AA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17.0</w:t>
            </w:r>
          </w:p>
        </w:tc>
        <w:tc>
          <w:tcPr>
            <w:tcW w:w="1170" w:type="dxa"/>
            <w:tcBorders>
              <w:top w:val="nil"/>
              <w:left w:val="nil"/>
              <w:bottom w:val="single" w:sz="4" w:space="0" w:color="auto"/>
              <w:right w:val="single" w:sz="4" w:space="0" w:color="auto"/>
            </w:tcBorders>
            <w:shd w:val="clear" w:color="auto" w:fill="FF0000"/>
            <w:noWrap/>
            <w:vAlign w:val="bottom"/>
            <w:hideMark/>
          </w:tcPr>
          <w:p w14:paraId="3546074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FDD</w:t>
            </w:r>
          </w:p>
        </w:tc>
      </w:tr>
      <w:tr w:rsidR="00EF027D" w:rsidRPr="00704D55" w14:paraId="2D683837" w14:textId="77777777" w:rsidTr="003C535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2AE43441"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0FB579CF"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400EA5A8"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2x001RB_0</w:t>
            </w:r>
          </w:p>
        </w:tc>
        <w:tc>
          <w:tcPr>
            <w:tcW w:w="516" w:type="dxa"/>
            <w:tcBorders>
              <w:top w:val="nil"/>
              <w:left w:val="nil"/>
              <w:bottom w:val="single" w:sz="4" w:space="0" w:color="auto"/>
              <w:right w:val="single" w:sz="4" w:space="0" w:color="auto"/>
            </w:tcBorders>
            <w:shd w:val="clear" w:color="auto" w:fill="auto"/>
            <w:noWrap/>
            <w:vAlign w:val="center"/>
            <w:hideMark/>
          </w:tcPr>
          <w:p w14:paraId="0CF6055C"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auto"/>
            <w:noWrap/>
            <w:vAlign w:val="center"/>
            <w:hideMark/>
          </w:tcPr>
          <w:p w14:paraId="5538606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auto"/>
            <w:noWrap/>
            <w:vAlign w:val="center"/>
            <w:hideMark/>
          </w:tcPr>
          <w:p w14:paraId="6ED7424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800</w:t>
            </w:r>
          </w:p>
        </w:tc>
        <w:tc>
          <w:tcPr>
            <w:tcW w:w="419" w:type="dxa"/>
            <w:tcBorders>
              <w:top w:val="nil"/>
              <w:left w:val="nil"/>
              <w:bottom w:val="single" w:sz="4" w:space="0" w:color="auto"/>
              <w:right w:val="single" w:sz="4" w:space="0" w:color="auto"/>
            </w:tcBorders>
            <w:shd w:val="clear" w:color="auto" w:fill="auto"/>
            <w:noWrap/>
            <w:vAlign w:val="center"/>
            <w:hideMark/>
          </w:tcPr>
          <w:p w14:paraId="5316AF74"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5.0</w:t>
            </w:r>
          </w:p>
        </w:tc>
        <w:tc>
          <w:tcPr>
            <w:tcW w:w="571" w:type="dxa"/>
            <w:tcBorders>
              <w:top w:val="nil"/>
              <w:left w:val="nil"/>
              <w:bottom w:val="single" w:sz="4" w:space="0" w:color="auto"/>
              <w:right w:val="single" w:sz="4" w:space="0" w:color="auto"/>
            </w:tcBorders>
            <w:shd w:val="clear" w:color="auto" w:fill="auto"/>
            <w:noWrap/>
            <w:vAlign w:val="center"/>
            <w:hideMark/>
          </w:tcPr>
          <w:p w14:paraId="2855D32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1120</w:t>
            </w:r>
          </w:p>
        </w:tc>
        <w:tc>
          <w:tcPr>
            <w:tcW w:w="450" w:type="dxa"/>
            <w:tcBorders>
              <w:top w:val="nil"/>
              <w:left w:val="nil"/>
              <w:bottom w:val="single" w:sz="4" w:space="0" w:color="auto"/>
              <w:right w:val="single" w:sz="4" w:space="0" w:color="auto"/>
            </w:tcBorders>
            <w:shd w:val="clear" w:color="auto" w:fill="auto"/>
            <w:noWrap/>
            <w:vAlign w:val="center"/>
            <w:hideMark/>
          </w:tcPr>
          <w:p w14:paraId="7F933D9C"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7.0</w:t>
            </w:r>
          </w:p>
        </w:tc>
        <w:tc>
          <w:tcPr>
            <w:tcW w:w="541" w:type="dxa"/>
            <w:tcBorders>
              <w:top w:val="nil"/>
              <w:left w:val="nil"/>
              <w:bottom w:val="single" w:sz="4" w:space="0" w:color="auto"/>
              <w:right w:val="single" w:sz="4" w:space="0" w:color="auto"/>
            </w:tcBorders>
            <w:shd w:val="clear" w:color="auto" w:fill="auto"/>
            <w:noWrap/>
            <w:vAlign w:val="center"/>
            <w:hideMark/>
          </w:tcPr>
          <w:p w14:paraId="4EAF88D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1760</w:t>
            </w:r>
          </w:p>
        </w:tc>
        <w:tc>
          <w:tcPr>
            <w:tcW w:w="539" w:type="dxa"/>
            <w:tcBorders>
              <w:top w:val="nil"/>
              <w:left w:val="nil"/>
              <w:bottom w:val="single" w:sz="4" w:space="0" w:color="auto"/>
              <w:right w:val="single" w:sz="4" w:space="0" w:color="auto"/>
            </w:tcBorders>
            <w:shd w:val="clear" w:color="auto" w:fill="auto"/>
            <w:noWrap/>
            <w:vAlign w:val="center"/>
            <w:hideMark/>
          </w:tcPr>
          <w:p w14:paraId="3F20E9E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11.0</w:t>
            </w:r>
          </w:p>
        </w:tc>
        <w:tc>
          <w:tcPr>
            <w:tcW w:w="630" w:type="dxa"/>
            <w:tcBorders>
              <w:top w:val="nil"/>
              <w:left w:val="nil"/>
              <w:bottom w:val="single" w:sz="4" w:space="0" w:color="auto"/>
              <w:right w:val="single" w:sz="4" w:space="0" w:color="auto"/>
            </w:tcBorders>
            <w:shd w:val="clear" w:color="auto" w:fill="auto"/>
            <w:noWrap/>
            <w:vAlign w:val="center"/>
            <w:hideMark/>
          </w:tcPr>
          <w:p w14:paraId="6CBB432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2720</w:t>
            </w:r>
          </w:p>
        </w:tc>
        <w:tc>
          <w:tcPr>
            <w:tcW w:w="540" w:type="dxa"/>
            <w:tcBorders>
              <w:top w:val="nil"/>
              <w:left w:val="nil"/>
              <w:bottom w:val="single" w:sz="4" w:space="0" w:color="auto"/>
              <w:right w:val="single" w:sz="4" w:space="0" w:color="auto"/>
            </w:tcBorders>
            <w:shd w:val="clear" w:color="auto" w:fill="auto"/>
            <w:noWrap/>
            <w:vAlign w:val="center"/>
            <w:hideMark/>
          </w:tcPr>
          <w:p w14:paraId="670BF40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17.0</w:t>
            </w:r>
          </w:p>
        </w:tc>
        <w:tc>
          <w:tcPr>
            <w:tcW w:w="630" w:type="dxa"/>
            <w:tcBorders>
              <w:top w:val="nil"/>
              <w:left w:val="nil"/>
              <w:bottom w:val="single" w:sz="4" w:space="0" w:color="auto"/>
              <w:right w:val="single" w:sz="4" w:space="0" w:color="auto"/>
            </w:tcBorders>
            <w:shd w:val="clear" w:color="auto" w:fill="auto"/>
            <w:noWrap/>
            <w:vAlign w:val="center"/>
            <w:hideMark/>
          </w:tcPr>
          <w:p w14:paraId="509D87A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4000</w:t>
            </w:r>
          </w:p>
        </w:tc>
        <w:tc>
          <w:tcPr>
            <w:tcW w:w="540" w:type="dxa"/>
            <w:tcBorders>
              <w:top w:val="nil"/>
              <w:left w:val="nil"/>
              <w:bottom w:val="single" w:sz="4" w:space="0" w:color="auto"/>
              <w:right w:val="single" w:sz="4" w:space="0" w:color="auto"/>
            </w:tcBorders>
            <w:shd w:val="clear" w:color="auto" w:fill="auto"/>
            <w:noWrap/>
            <w:vAlign w:val="center"/>
            <w:hideMark/>
          </w:tcPr>
          <w:p w14:paraId="466B27E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25.0</w:t>
            </w:r>
          </w:p>
        </w:tc>
        <w:tc>
          <w:tcPr>
            <w:tcW w:w="1170" w:type="dxa"/>
            <w:tcBorders>
              <w:top w:val="nil"/>
              <w:left w:val="nil"/>
              <w:bottom w:val="single" w:sz="4" w:space="0" w:color="auto"/>
              <w:right w:val="single" w:sz="4" w:space="0" w:color="auto"/>
            </w:tcBorders>
            <w:shd w:val="clear" w:color="auto" w:fill="auto"/>
            <w:noWrap/>
            <w:vAlign w:val="bottom"/>
            <w:hideMark/>
          </w:tcPr>
          <w:p w14:paraId="17E7A9C2" w14:textId="54B1327B"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r>
      <w:tr w:rsidR="00925E38" w:rsidRPr="00704D55" w14:paraId="08B2FD07" w14:textId="77777777" w:rsidTr="00925E3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12416D6D"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30FA119" w14:textId="77777777"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H1+H2</w:t>
            </w:r>
          </w:p>
        </w:tc>
        <w:tc>
          <w:tcPr>
            <w:tcW w:w="1025" w:type="dxa"/>
            <w:tcBorders>
              <w:top w:val="nil"/>
              <w:left w:val="nil"/>
              <w:bottom w:val="single" w:sz="4" w:space="0" w:color="auto"/>
              <w:right w:val="single" w:sz="4" w:space="0" w:color="auto"/>
            </w:tcBorders>
            <w:shd w:val="clear" w:color="auto" w:fill="auto"/>
            <w:noWrap/>
            <w:vAlign w:val="center"/>
            <w:hideMark/>
          </w:tcPr>
          <w:p w14:paraId="39A42642"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2x216RB_0</w:t>
            </w:r>
          </w:p>
        </w:tc>
        <w:tc>
          <w:tcPr>
            <w:tcW w:w="516" w:type="dxa"/>
            <w:tcBorders>
              <w:top w:val="nil"/>
              <w:left w:val="nil"/>
              <w:bottom w:val="single" w:sz="4" w:space="0" w:color="auto"/>
              <w:right w:val="single" w:sz="4" w:space="0" w:color="auto"/>
            </w:tcBorders>
            <w:shd w:val="clear" w:color="auto" w:fill="FFFF00"/>
            <w:noWrap/>
            <w:vAlign w:val="center"/>
            <w:hideMark/>
          </w:tcPr>
          <w:p w14:paraId="695C744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FFFF00"/>
            <w:noWrap/>
            <w:vAlign w:val="center"/>
            <w:hideMark/>
          </w:tcPr>
          <w:p w14:paraId="1AE60B3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FFFF00"/>
            <w:noWrap/>
            <w:vAlign w:val="center"/>
            <w:hideMark/>
          </w:tcPr>
          <w:p w14:paraId="0648BF4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19" w:type="dxa"/>
            <w:tcBorders>
              <w:top w:val="nil"/>
              <w:left w:val="nil"/>
              <w:bottom w:val="single" w:sz="4" w:space="0" w:color="auto"/>
              <w:right w:val="single" w:sz="4" w:space="0" w:color="auto"/>
            </w:tcBorders>
            <w:shd w:val="clear" w:color="auto" w:fill="FFFF00"/>
            <w:noWrap/>
            <w:vAlign w:val="center"/>
            <w:hideMark/>
          </w:tcPr>
          <w:p w14:paraId="2FDFDF04"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71" w:type="dxa"/>
            <w:tcBorders>
              <w:top w:val="nil"/>
              <w:left w:val="nil"/>
              <w:bottom w:val="single" w:sz="4" w:space="0" w:color="auto"/>
              <w:right w:val="single" w:sz="4" w:space="0" w:color="auto"/>
            </w:tcBorders>
            <w:shd w:val="clear" w:color="auto" w:fill="FFFF00"/>
            <w:noWrap/>
            <w:vAlign w:val="center"/>
            <w:hideMark/>
          </w:tcPr>
          <w:p w14:paraId="3A7B617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50" w:type="dxa"/>
            <w:tcBorders>
              <w:top w:val="nil"/>
              <w:left w:val="nil"/>
              <w:bottom w:val="single" w:sz="4" w:space="0" w:color="auto"/>
              <w:right w:val="single" w:sz="4" w:space="0" w:color="auto"/>
            </w:tcBorders>
            <w:shd w:val="clear" w:color="auto" w:fill="FFFF00"/>
            <w:noWrap/>
            <w:vAlign w:val="center"/>
            <w:hideMark/>
          </w:tcPr>
          <w:p w14:paraId="2A56D0D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41" w:type="dxa"/>
            <w:tcBorders>
              <w:top w:val="nil"/>
              <w:left w:val="nil"/>
              <w:bottom w:val="single" w:sz="4" w:space="0" w:color="auto"/>
              <w:right w:val="single" w:sz="4" w:space="0" w:color="auto"/>
            </w:tcBorders>
            <w:shd w:val="clear" w:color="auto" w:fill="FFFF00"/>
            <w:noWrap/>
            <w:vAlign w:val="center"/>
            <w:hideMark/>
          </w:tcPr>
          <w:p w14:paraId="5F97CF2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539" w:type="dxa"/>
            <w:tcBorders>
              <w:top w:val="nil"/>
              <w:left w:val="nil"/>
              <w:bottom w:val="single" w:sz="4" w:space="0" w:color="auto"/>
              <w:right w:val="single" w:sz="4" w:space="0" w:color="auto"/>
            </w:tcBorders>
            <w:shd w:val="clear" w:color="auto" w:fill="FFFF00"/>
            <w:noWrap/>
            <w:vAlign w:val="center"/>
            <w:hideMark/>
          </w:tcPr>
          <w:p w14:paraId="5DF30AB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630" w:type="dxa"/>
            <w:tcBorders>
              <w:top w:val="nil"/>
              <w:left w:val="nil"/>
              <w:bottom w:val="single" w:sz="4" w:space="0" w:color="auto"/>
              <w:right w:val="single" w:sz="4" w:space="0" w:color="auto"/>
            </w:tcBorders>
            <w:shd w:val="clear" w:color="auto" w:fill="FFFF00"/>
            <w:noWrap/>
            <w:vAlign w:val="center"/>
            <w:hideMark/>
          </w:tcPr>
          <w:p w14:paraId="4FEE2E5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+260</w:t>
            </w:r>
          </w:p>
        </w:tc>
        <w:tc>
          <w:tcPr>
            <w:tcW w:w="540" w:type="dxa"/>
            <w:tcBorders>
              <w:top w:val="nil"/>
              <w:left w:val="nil"/>
              <w:bottom w:val="single" w:sz="4" w:space="0" w:color="auto"/>
              <w:right w:val="single" w:sz="4" w:space="0" w:color="auto"/>
            </w:tcBorders>
            <w:shd w:val="clear" w:color="auto" w:fill="FFFF00"/>
            <w:noWrap/>
            <w:vAlign w:val="center"/>
            <w:hideMark/>
          </w:tcPr>
          <w:p w14:paraId="7F74E47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w:t>
            </w:r>
          </w:p>
        </w:tc>
        <w:tc>
          <w:tcPr>
            <w:tcW w:w="630" w:type="dxa"/>
            <w:tcBorders>
              <w:top w:val="nil"/>
              <w:left w:val="nil"/>
              <w:bottom w:val="single" w:sz="4" w:space="0" w:color="auto"/>
              <w:right w:val="single" w:sz="4" w:space="0" w:color="auto"/>
            </w:tcBorders>
            <w:shd w:val="clear" w:color="auto" w:fill="FFFF00"/>
            <w:noWrap/>
            <w:vAlign w:val="center"/>
            <w:hideMark/>
          </w:tcPr>
          <w:p w14:paraId="426CDAA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+430</w:t>
            </w:r>
          </w:p>
        </w:tc>
        <w:tc>
          <w:tcPr>
            <w:tcW w:w="540" w:type="dxa"/>
            <w:tcBorders>
              <w:top w:val="nil"/>
              <w:left w:val="nil"/>
              <w:bottom w:val="single" w:sz="4" w:space="0" w:color="auto"/>
              <w:right w:val="single" w:sz="4" w:space="0" w:color="auto"/>
            </w:tcBorders>
            <w:shd w:val="clear" w:color="auto" w:fill="FFFF00"/>
            <w:noWrap/>
            <w:vAlign w:val="center"/>
            <w:hideMark/>
          </w:tcPr>
          <w:p w14:paraId="650C3E0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2.7</w:t>
            </w:r>
          </w:p>
        </w:tc>
        <w:tc>
          <w:tcPr>
            <w:tcW w:w="1170" w:type="dxa"/>
            <w:tcBorders>
              <w:top w:val="nil"/>
              <w:left w:val="nil"/>
              <w:bottom w:val="single" w:sz="4" w:space="0" w:color="auto"/>
              <w:right w:val="single" w:sz="4" w:space="0" w:color="auto"/>
            </w:tcBorders>
            <w:shd w:val="clear" w:color="auto" w:fill="FFFF00"/>
            <w:noWrap/>
            <w:vAlign w:val="bottom"/>
            <w:hideMark/>
          </w:tcPr>
          <w:p w14:paraId="21B3C5AB" w14:textId="6B8EBC6A" w:rsidR="00EF027D" w:rsidRPr="00EF027D" w:rsidRDefault="003C5358"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TDD</w:t>
            </w:r>
            <w:r>
              <w:rPr>
                <w:rFonts w:asciiTheme="minorHAnsi" w:hAnsiTheme="minorHAnsi" w:cstheme="minorHAnsi"/>
                <w:color w:val="000000"/>
                <w:sz w:val="16"/>
                <w:szCs w:val="16"/>
                <w:lang w:val="en-US" w:eastAsia="en-US"/>
              </w:rPr>
              <w:t>_C</w:t>
            </w:r>
            <w:r w:rsidRPr="00EF027D">
              <w:rPr>
                <w:rFonts w:asciiTheme="minorHAnsi" w:hAnsiTheme="minorHAnsi" w:cstheme="minorHAnsi"/>
                <w:color w:val="000000"/>
                <w:sz w:val="16"/>
                <w:szCs w:val="16"/>
                <w:lang w:val="en-US" w:eastAsia="en-US"/>
              </w:rPr>
              <w:t>new?</w:t>
            </w:r>
          </w:p>
        </w:tc>
      </w:tr>
      <w:tr w:rsidR="00925E38" w:rsidRPr="00704D55" w14:paraId="066BA597" w14:textId="77777777" w:rsidTr="00925E3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55A1A918"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35E0D65C"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0D8C5CB2"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2x100RB_0</w:t>
            </w:r>
          </w:p>
        </w:tc>
        <w:tc>
          <w:tcPr>
            <w:tcW w:w="516" w:type="dxa"/>
            <w:tcBorders>
              <w:top w:val="nil"/>
              <w:left w:val="nil"/>
              <w:bottom w:val="single" w:sz="4" w:space="0" w:color="auto"/>
              <w:right w:val="single" w:sz="4" w:space="0" w:color="auto"/>
            </w:tcBorders>
            <w:shd w:val="clear" w:color="auto" w:fill="FFC000"/>
            <w:noWrap/>
            <w:vAlign w:val="center"/>
            <w:hideMark/>
          </w:tcPr>
          <w:p w14:paraId="5CCCC0E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FFC000"/>
            <w:noWrap/>
            <w:vAlign w:val="center"/>
            <w:hideMark/>
          </w:tcPr>
          <w:p w14:paraId="3611262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FFC000"/>
            <w:noWrap/>
            <w:vAlign w:val="center"/>
            <w:hideMark/>
          </w:tcPr>
          <w:p w14:paraId="4AF15D8A"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19" w:type="dxa"/>
            <w:tcBorders>
              <w:top w:val="nil"/>
              <w:left w:val="nil"/>
              <w:bottom w:val="single" w:sz="4" w:space="0" w:color="auto"/>
              <w:right w:val="single" w:sz="4" w:space="0" w:color="auto"/>
            </w:tcBorders>
            <w:shd w:val="clear" w:color="auto" w:fill="FFC000"/>
            <w:noWrap/>
            <w:vAlign w:val="center"/>
            <w:hideMark/>
          </w:tcPr>
          <w:p w14:paraId="289E59E4"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71" w:type="dxa"/>
            <w:tcBorders>
              <w:top w:val="nil"/>
              <w:left w:val="nil"/>
              <w:bottom w:val="single" w:sz="4" w:space="0" w:color="auto"/>
              <w:right w:val="single" w:sz="4" w:space="0" w:color="auto"/>
            </w:tcBorders>
            <w:shd w:val="clear" w:color="auto" w:fill="FFC000"/>
            <w:noWrap/>
            <w:vAlign w:val="center"/>
            <w:hideMark/>
          </w:tcPr>
          <w:p w14:paraId="5DEB42B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50" w:type="dxa"/>
            <w:tcBorders>
              <w:top w:val="nil"/>
              <w:left w:val="nil"/>
              <w:bottom w:val="single" w:sz="4" w:space="0" w:color="auto"/>
              <w:right w:val="single" w:sz="4" w:space="0" w:color="auto"/>
            </w:tcBorders>
            <w:shd w:val="clear" w:color="auto" w:fill="FFC000"/>
            <w:noWrap/>
            <w:vAlign w:val="center"/>
            <w:hideMark/>
          </w:tcPr>
          <w:p w14:paraId="256C2E5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41" w:type="dxa"/>
            <w:tcBorders>
              <w:top w:val="nil"/>
              <w:left w:val="nil"/>
              <w:bottom w:val="single" w:sz="4" w:space="0" w:color="auto"/>
              <w:right w:val="single" w:sz="4" w:space="0" w:color="auto"/>
            </w:tcBorders>
            <w:shd w:val="clear" w:color="auto" w:fill="FFC000"/>
            <w:noWrap/>
            <w:vAlign w:val="center"/>
            <w:hideMark/>
          </w:tcPr>
          <w:p w14:paraId="423BA09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539" w:type="dxa"/>
            <w:tcBorders>
              <w:top w:val="nil"/>
              <w:left w:val="nil"/>
              <w:bottom w:val="single" w:sz="4" w:space="0" w:color="auto"/>
              <w:right w:val="single" w:sz="4" w:space="0" w:color="auto"/>
            </w:tcBorders>
            <w:shd w:val="clear" w:color="auto" w:fill="FFC000"/>
            <w:noWrap/>
            <w:vAlign w:val="center"/>
            <w:hideMark/>
          </w:tcPr>
          <w:p w14:paraId="048CB5E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630" w:type="dxa"/>
            <w:tcBorders>
              <w:top w:val="nil"/>
              <w:left w:val="nil"/>
              <w:bottom w:val="single" w:sz="4" w:space="0" w:color="auto"/>
              <w:right w:val="single" w:sz="4" w:space="0" w:color="auto"/>
            </w:tcBorders>
            <w:shd w:val="clear" w:color="auto" w:fill="FFC000"/>
            <w:noWrap/>
            <w:vAlign w:val="center"/>
            <w:hideMark/>
          </w:tcPr>
          <w:p w14:paraId="252AE164"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+320</w:t>
            </w:r>
          </w:p>
        </w:tc>
        <w:tc>
          <w:tcPr>
            <w:tcW w:w="540" w:type="dxa"/>
            <w:tcBorders>
              <w:top w:val="nil"/>
              <w:left w:val="nil"/>
              <w:bottom w:val="single" w:sz="4" w:space="0" w:color="auto"/>
              <w:right w:val="single" w:sz="4" w:space="0" w:color="auto"/>
            </w:tcBorders>
            <w:shd w:val="clear" w:color="auto" w:fill="FFC000"/>
            <w:noWrap/>
            <w:vAlign w:val="center"/>
            <w:hideMark/>
          </w:tcPr>
          <w:p w14:paraId="791592F0"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w:t>
            </w:r>
          </w:p>
        </w:tc>
        <w:tc>
          <w:tcPr>
            <w:tcW w:w="630" w:type="dxa"/>
            <w:tcBorders>
              <w:top w:val="nil"/>
              <w:left w:val="nil"/>
              <w:bottom w:val="single" w:sz="4" w:space="0" w:color="auto"/>
              <w:right w:val="single" w:sz="4" w:space="0" w:color="auto"/>
            </w:tcBorders>
            <w:shd w:val="clear" w:color="auto" w:fill="FFC000"/>
            <w:noWrap/>
            <w:vAlign w:val="center"/>
            <w:hideMark/>
          </w:tcPr>
          <w:p w14:paraId="4BB30AA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+560</w:t>
            </w:r>
          </w:p>
        </w:tc>
        <w:tc>
          <w:tcPr>
            <w:tcW w:w="540" w:type="dxa"/>
            <w:tcBorders>
              <w:top w:val="nil"/>
              <w:left w:val="nil"/>
              <w:bottom w:val="single" w:sz="4" w:space="0" w:color="auto"/>
              <w:right w:val="single" w:sz="4" w:space="0" w:color="auto"/>
            </w:tcBorders>
            <w:shd w:val="clear" w:color="auto" w:fill="FFC000"/>
            <w:noWrap/>
            <w:vAlign w:val="center"/>
            <w:hideMark/>
          </w:tcPr>
          <w:p w14:paraId="2EAD9B0A"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3.5</w:t>
            </w:r>
          </w:p>
        </w:tc>
        <w:tc>
          <w:tcPr>
            <w:tcW w:w="1170" w:type="dxa"/>
            <w:tcBorders>
              <w:top w:val="nil"/>
              <w:left w:val="nil"/>
              <w:bottom w:val="single" w:sz="4" w:space="0" w:color="auto"/>
              <w:right w:val="single" w:sz="4" w:space="0" w:color="auto"/>
            </w:tcBorders>
            <w:shd w:val="clear" w:color="auto" w:fill="FFC000"/>
            <w:noWrap/>
            <w:vAlign w:val="bottom"/>
            <w:hideMark/>
          </w:tcPr>
          <w:p w14:paraId="5521A2B4" w14:textId="6B5FA3AB" w:rsidR="00EF027D" w:rsidRPr="00EF027D" w:rsidRDefault="003C5358"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TDD</w:t>
            </w:r>
            <w:r>
              <w:rPr>
                <w:rFonts w:asciiTheme="minorHAnsi" w:hAnsiTheme="minorHAnsi" w:cstheme="minorHAnsi"/>
                <w:color w:val="000000"/>
                <w:sz w:val="16"/>
                <w:szCs w:val="16"/>
                <w:lang w:val="en-US" w:eastAsia="en-US"/>
              </w:rPr>
              <w:t>_NC</w:t>
            </w:r>
            <w:r w:rsidRPr="00EF027D">
              <w:rPr>
                <w:rFonts w:asciiTheme="minorHAnsi" w:hAnsiTheme="minorHAnsi" w:cstheme="minorHAnsi"/>
                <w:color w:val="000000"/>
                <w:sz w:val="16"/>
                <w:szCs w:val="16"/>
                <w:lang w:val="en-US" w:eastAsia="en-US"/>
              </w:rPr>
              <w:t>new?</w:t>
            </w:r>
          </w:p>
        </w:tc>
      </w:tr>
      <w:tr w:rsidR="00CF4EDE" w:rsidRPr="00704D55" w14:paraId="3B554DC3" w14:textId="77777777" w:rsidTr="00925E3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6ABC4F4B"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553AEE59"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50D6C112"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2x012RB_0</w:t>
            </w:r>
          </w:p>
        </w:tc>
        <w:tc>
          <w:tcPr>
            <w:tcW w:w="516" w:type="dxa"/>
            <w:tcBorders>
              <w:top w:val="nil"/>
              <w:left w:val="nil"/>
              <w:bottom w:val="single" w:sz="4" w:space="0" w:color="auto"/>
              <w:right w:val="single" w:sz="4" w:space="0" w:color="auto"/>
            </w:tcBorders>
            <w:shd w:val="clear" w:color="auto" w:fill="FF0000"/>
            <w:noWrap/>
            <w:vAlign w:val="center"/>
            <w:hideMark/>
          </w:tcPr>
          <w:p w14:paraId="59B9A93A"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FF0000"/>
            <w:noWrap/>
            <w:vAlign w:val="center"/>
            <w:hideMark/>
          </w:tcPr>
          <w:p w14:paraId="429E002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FF0000"/>
            <w:noWrap/>
            <w:vAlign w:val="center"/>
            <w:hideMark/>
          </w:tcPr>
          <w:p w14:paraId="4279534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19" w:type="dxa"/>
            <w:tcBorders>
              <w:top w:val="nil"/>
              <w:left w:val="nil"/>
              <w:bottom w:val="single" w:sz="4" w:space="0" w:color="auto"/>
              <w:right w:val="single" w:sz="4" w:space="0" w:color="auto"/>
            </w:tcBorders>
            <w:shd w:val="clear" w:color="auto" w:fill="FF0000"/>
            <w:noWrap/>
            <w:vAlign w:val="center"/>
            <w:hideMark/>
          </w:tcPr>
          <w:p w14:paraId="437BB21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71" w:type="dxa"/>
            <w:tcBorders>
              <w:top w:val="nil"/>
              <w:left w:val="nil"/>
              <w:bottom w:val="single" w:sz="4" w:space="0" w:color="auto"/>
              <w:right w:val="single" w:sz="4" w:space="0" w:color="auto"/>
            </w:tcBorders>
            <w:shd w:val="clear" w:color="auto" w:fill="FF0000"/>
            <w:noWrap/>
            <w:vAlign w:val="center"/>
            <w:hideMark/>
          </w:tcPr>
          <w:p w14:paraId="7B6BEF2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50" w:type="dxa"/>
            <w:tcBorders>
              <w:top w:val="nil"/>
              <w:left w:val="nil"/>
              <w:bottom w:val="single" w:sz="4" w:space="0" w:color="auto"/>
              <w:right w:val="single" w:sz="4" w:space="0" w:color="auto"/>
            </w:tcBorders>
            <w:shd w:val="clear" w:color="auto" w:fill="FF0000"/>
            <w:noWrap/>
            <w:vAlign w:val="center"/>
            <w:hideMark/>
          </w:tcPr>
          <w:p w14:paraId="76C279F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41" w:type="dxa"/>
            <w:tcBorders>
              <w:top w:val="nil"/>
              <w:left w:val="nil"/>
              <w:bottom w:val="single" w:sz="4" w:space="0" w:color="auto"/>
              <w:right w:val="single" w:sz="4" w:space="0" w:color="auto"/>
            </w:tcBorders>
            <w:shd w:val="clear" w:color="auto" w:fill="FF0000"/>
            <w:noWrap/>
            <w:vAlign w:val="center"/>
            <w:hideMark/>
          </w:tcPr>
          <w:p w14:paraId="1DCEE26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+320</w:t>
            </w:r>
          </w:p>
        </w:tc>
        <w:tc>
          <w:tcPr>
            <w:tcW w:w="539" w:type="dxa"/>
            <w:tcBorders>
              <w:top w:val="nil"/>
              <w:left w:val="nil"/>
              <w:bottom w:val="single" w:sz="4" w:space="0" w:color="auto"/>
              <w:right w:val="single" w:sz="4" w:space="0" w:color="auto"/>
            </w:tcBorders>
            <w:shd w:val="clear" w:color="auto" w:fill="FF0000"/>
            <w:noWrap/>
            <w:vAlign w:val="center"/>
            <w:hideMark/>
          </w:tcPr>
          <w:p w14:paraId="24D0A79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w:t>
            </w:r>
          </w:p>
        </w:tc>
        <w:tc>
          <w:tcPr>
            <w:tcW w:w="630" w:type="dxa"/>
            <w:tcBorders>
              <w:top w:val="nil"/>
              <w:left w:val="nil"/>
              <w:bottom w:val="single" w:sz="4" w:space="0" w:color="auto"/>
              <w:right w:val="single" w:sz="4" w:space="0" w:color="auto"/>
            </w:tcBorders>
            <w:shd w:val="clear" w:color="auto" w:fill="FF0000"/>
            <w:noWrap/>
            <w:vAlign w:val="center"/>
            <w:hideMark/>
          </w:tcPr>
          <w:p w14:paraId="73BA36B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+800</w:t>
            </w:r>
          </w:p>
        </w:tc>
        <w:tc>
          <w:tcPr>
            <w:tcW w:w="540" w:type="dxa"/>
            <w:tcBorders>
              <w:top w:val="nil"/>
              <w:left w:val="nil"/>
              <w:bottom w:val="single" w:sz="4" w:space="0" w:color="auto"/>
              <w:right w:val="single" w:sz="4" w:space="0" w:color="auto"/>
            </w:tcBorders>
            <w:shd w:val="clear" w:color="auto" w:fill="FF0000"/>
            <w:noWrap/>
            <w:vAlign w:val="center"/>
            <w:hideMark/>
          </w:tcPr>
          <w:p w14:paraId="49D171F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5.0</w:t>
            </w:r>
          </w:p>
        </w:tc>
        <w:tc>
          <w:tcPr>
            <w:tcW w:w="630" w:type="dxa"/>
            <w:tcBorders>
              <w:top w:val="nil"/>
              <w:left w:val="nil"/>
              <w:bottom w:val="single" w:sz="4" w:space="0" w:color="auto"/>
              <w:right w:val="single" w:sz="4" w:space="0" w:color="auto"/>
            </w:tcBorders>
            <w:shd w:val="clear" w:color="auto" w:fill="FF0000"/>
            <w:noWrap/>
            <w:vAlign w:val="center"/>
            <w:hideMark/>
          </w:tcPr>
          <w:p w14:paraId="030E74E4"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+1280</w:t>
            </w:r>
          </w:p>
        </w:tc>
        <w:tc>
          <w:tcPr>
            <w:tcW w:w="540" w:type="dxa"/>
            <w:tcBorders>
              <w:top w:val="nil"/>
              <w:left w:val="nil"/>
              <w:bottom w:val="single" w:sz="4" w:space="0" w:color="auto"/>
              <w:right w:val="single" w:sz="4" w:space="0" w:color="auto"/>
            </w:tcBorders>
            <w:shd w:val="clear" w:color="auto" w:fill="FF0000"/>
            <w:noWrap/>
            <w:vAlign w:val="center"/>
            <w:hideMark/>
          </w:tcPr>
          <w:p w14:paraId="5CA705F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w:t>
            </w:r>
          </w:p>
        </w:tc>
        <w:tc>
          <w:tcPr>
            <w:tcW w:w="1170" w:type="dxa"/>
            <w:tcBorders>
              <w:top w:val="nil"/>
              <w:left w:val="nil"/>
              <w:bottom w:val="single" w:sz="4" w:space="0" w:color="auto"/>
              <w:right w:val="single" w:sz="4" w:space="0" w:color="auto"/>
            </w:tcBorders>
            <w:shd w:val="clear" w:color="auto" w:fill="FF0000"/>
            <w:noWrap/>
            <w:vAlign w:val="bottom"/>
            <w:hideMark/>
          </w:tcPr>
          <w:p w14:paraId="0E9D15A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FDD</w:t>
            </w:r>
          </w:p>
        </w:tc>
      </w:tr>
      <w:tr w:rsidR="00EF027D" w:rsidRPr="00704D55" w14:paraId="618EAB7E" w14:textId="77777777" w:rsidTr="003C535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5295095B"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3A94C7E4"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78C55BE1"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2x001RB_0</w:t>
            </w:r>
          </w:p>
        </w:tc>
        <w:tc>
          <w:tcPr>
            <w:tcW w:w="516" w:type="dxa"/>
            <w:tcBorders>
              <w:top w:val="nil"/>
              <w:left w:val="nil"/>
              <w:bottom w:val="single" w:sz="4" w:space="0" w:color="auto"/>
              <w:right w:val="single" w:sz="4" w:space="0" w:color="auto"/>
            </w:tcBorders>
            <w:shd w:val="clear" w:color="auto" w:fill="auto"/>
            <w:noWrap/>
            <w:vAlign w:val="center"/>
            <w:hideMark/>
          </w:tcPr>
          <w:p w14:paraId="4662AFB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auto"/>
            <w:noWrap/>
            <w:vAlign w:val="center"/>
            <w:hideMark/>
          </w:tcPr>
          <w:p w14:paraId="52FBC56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auto"/>
            <w:noWrap/>
            <w:vAlign w:val="center"/>
            <w:hideMark/>
          </w:tcPr>
          <w:p w14:paraId="1FD052D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19" w:type="dxa"/>
            <w:tcBorders>
              <w:top w:val="nil"/>
              <w:left w:val="nil"/>
              <w:bottom w:val="single" w:sz="4" w:space="0" w:color="auto"/>
              <w:right w:val="single" w:sz="4" w:space="0" w:color="auto"/>
            </w:tcBorders>
            <w:shd w:val="clear" w:color="auto" w:fill="auto"/>
            <w:noWrap/>
            <w:vAlign w:val="center"/>
            <w:hideMark/>
          </w:tcPr>
          <w:p w14:paraId="1607B15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71" w:type="dxa"/>
            <w:tcBorders>
              <w:top w:val="nil"/>
              <w:left w:val="nil"/>
              <w:bottom w:val="single" w:sz="4" w:space="0" w:color="auto"/>
              <w:right w:val="single" w:sz="4" w:space="0" w:color="auto"/>
            </w:tcBorders>
            <w:shd w:val="clear" w:color="auto" w:fill="auto"/>
            <w:noWrap/>
            <w:vAlign w:val="center"/>
            <w:hideMark/>
          </w:tcPr>
          <w:p w14:paraId="402B3444"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+320</w:t>
            </w:r>
          </w:p>
        </w:tc>
        <w:tc>
          <w:tcPr>
            <w:tcW w:w="450" w:type="dxa"/>
            <w:tcBorders>
              <w:top w:val="nil"/>
              <w:left w:val="nil"/>
              <w:bottom w:val="single" w:sz="4" w:space="0" w:color="auto"/>
              <w:right w:val="single" w:sz="4" w:space="0" w:color="auto"/>
            </w:tcBorders>
            <w:shd w:val="clear" w:color="auto" w:fill="auto"/>
            <w:noWrap/>
            <w:vAlign w:val="center"/>
            <w:hideMark/>
          </w:tcPr>
          <w:p w14:paraId="5480F07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w:t>
            </w:r>
          </w:p>
        </w:tc>
        <w:tc>
          <w:tcPr>
            <w:tcW w:w="541" w:type="dxa"/>
            <w:tcBorders>
              <w:top w:val="nil"/>
              <w:left w:val="nil"/>
              <w:bottom w:val="single" w:sz="4" w:space="0" w:color="auto"/>
              <w:right w:val="single" w:sz="4" w:space="0" w:color="auto"/>
            </w:tcBorders>
            <w:shd w:val="clear" w:color="auto" w:fill="auto"/>
            <w:noWrap/>
            <w:vAlign w:val="center"/>
            <w:hideMark/>
          </w:tcPr>
          <w:p w14:paraId="7196D8C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+480</w:t>
            </w:r>
          </w:p>
        </w:tc>
        <w:tc>
          <w:tcPr>
            <w:tcW w:w="539" w:type="dxa"/>
            <w:tcBorders>
              <w:top w:val="nil"/>
              <w:left w:val="nil"/>
              <w:bottom w:val="single" w:sz="4" w:space="0" w:color="auto"/>
              <w:right w:val="single" w:sz="4" w:space="0" w:color="auto"/>
            </w:tcBorders>
            <w:shd w:val="clear" w:color="auto" w:fill="auto"/>
            <w:noWrap/>
            <w:vAlign w:val="center"/>
            <w:hideMark/>
          </w:tcPr>
          <w:p w14:paraId="4308382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w:t>
            </w:r>
          </w:p>
        </w:tc>
        <w:tc>
          <w:tcPr>
            <w:tcW w:w="630" w:type="dxa"/>
            <w:tcBorders>
              <w:top w:val="nil"/>
              <w:left w:val="nil"/>
              <w:bottom w:val="single" w:sz="4" w:space="0" w:color="auto"/>
              <w:right w:val="single" w:sz="4" w:space="0" w:color="auto"/>
            </w:tcBorders>
            <w:shd w:val="clear" w:color="auto" w:fill="auto"/>
            <w:noWrap/>
            <w:vAlign w:val="center"/>
            <w:hideMark/>
          </w:tcPr>
          <w:p w14:paraId="2D5FA1AA"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+1600</w:t>
            </w:r>
          </w:p>
        </w:tc>
        <w:tc>
          <w:tcPr>
            <w:tcW w:w="540" w:type="dxa"/>
            <w:tcBorders>
              <w:top w:val="nil"/>
              <w:left w:val="nil"/>
              <w:bottom w:val="single" w:sz="4" w:space="0" w:color="auto"/>
              <w:right w:val="single" w:sz="4" w:space="0" w:color="auto"/>
            </w:tcBorders>
            <w:shd w:val="clear" w:color="auto" w:fill="auto"/>
            <w:noWrap/>
            <w:vAlign w:val="center"/>
            <w:hideMark/>
          </w:tcPr>
          <w:p w14:paraId="48C9BAA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10.0</w:t>
            </w:r>
          </w:p>
        </w:tc>
        <w:tc>
          <w:tcPr>
            <w:tcW w:w="630" w:type="dxa"/>
            <w:tcBorders>
              <w:top w:val="nil"/>
              <w:left w:val="nil"/>
              <w:bottom w:val="single" w:sz="4" w:space="0" w:color="auto"/>
              <w:right w:val="single" w:sz="4" w:space="0" w:color="auto"/>
            </w:tcBorders>
            <w:shd w:val="clear" w:color="auto" w:fill="auto"/>
            <w:noWrap/>
            <w:vAlign w:val="center"/>
            <w:hideMark/>
          </w:tcPr>
          <w:p w14:paraId="7E0A152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+2080</w:t>
            </w:r>
          </w:p>
        </w:tc>
        <w:tc>
          <w:tcPr>
            <w:tcW w:w="540" w:type="dxa"/>
            <w:tcBorders>
              <w:top w:val="nil"/>
              <w:left w:val="nil"/>
              <w:bottom w:val="single" w:sz="4" w:space="0" w:color="auto"/>
              <w:right w:val="single" w:sz="4" w:space="0" w:color="auto"/>
            </w:tcBorders>
            <w:shd w:val="clear" w:color="auto" w:fill="auto"/>
            <w:noWrap/>
            <w:vAlign w:val="center"/>
            <w:hideMark/>
          </w:tcPr>
          <w:p w14:paraId="63DA180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13.0</w:t>
            </w:r>
          </w:p>
        </w:tc>
        <w:tc>
          <w:tcPr>
            <w:tcW w:w="1170" w:type="dxa"/>
            <w:tcBorders>
              <w:top w:val="nil"/>
              <w:left w:val="nil"/>
              <w:bottom w:val="single" w:sz="4" w:space="0" w:color="auto"/>
              <w:right w:val="single" w:sz="4" w:space="0" w:color="auto"/>
            </w:tcBorders>
            <w:shd w:val="clear" w:color="auto" w:fill="auto"/>
            <w:noWrap/>
            <w:vAlign w:val="bottom"/>
            <w:hideMark/>
          </w:tcPr>
          <w:p w14:paraId="40D90B2E" w14:textId="38079E10"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r>
      <w:tr w:rsidR="00EF027D" w:rsidRPr="00704D55" w14:paraId="66084249" w14:textId="77777777" w:rsidTr="003C5358">
        <w:trPr>
          <w:trHeight w:val="240"/>
          <w:jc w:val="center"/>
        </w:trPr>
        <w:tc>
          <w:tcPr>
            <w:tcW w:w="1170" w:type="dxa"/>
            <w:vMerge w:val="restart"/>
            <w:tcBorders>
              <w:top w:val="nil"/>
              <w:left w:val="single" w:sz="4" w:space="0" w:color="auto"/>
              <w:bottom w:val="single" w:sz="4" w:space="0" w:color="auto"/>
              <w:right w:val="single" w:sz="4" w:space="0" w:color="auto"/>
            </w:tcBorders>
            <w:shd w:val="clear" w:color="auto" w:fill="auto"/>
            <w:vAlign w:val="center"/>
            <w:hideMark/>
          </w:tcPr>
          <w:p w14:paraId="110C3D39" w14:textId="77777777"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ULCA MPR</w:t>
            </w:r>
          </w:p>
          <w:p w14:paraId="6812AA35" w14:textId="77777777"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 xml:space="preserve"> for ContULCA: max distance 2xLCRB1/2</w:t>
            </w:r>
          </w:p>
          <w:p w14:paraId="3955DB10" w14:textId="0628D8D2"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_MPR</w:t>
            </w:r>
          </w:p>
        </w:tc>
        <w:tc>
          <w:tcPr>
            <w:tcW w:w="658" w:type="dxa"/>
            <w:vMerge w:val="restart"/>
            <w:tcBorders>
              <w:top w:val="nil"/>
              <w:left w:val="single" w:sz="4" w:space="0" w:color="auto"/>
              <w:bottom w:val="single" w:sz="4" w:space="0" w:color="auto"/>
              <w:right w:val="single" w:sz="4" w:space="0" w:color="auto"/>
            </w:tcBorders>
            <w:shd w:val="clear" w:color="auto" w:fill="auto"/>
            <w:vAlign w:val="center"/>
            <w:hideMark/>
          </w:tcPr>
          <w:p w14:paraId="2DC1C9EF" w14:textId="77777777"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H1</w:t>
            </w:r>
          </w:p>
        </w:tc>
        <w:tc>
          <w:tcPr>
            <w:tcW w:w="1025" w:type="dxa"/>
            <w:tcBorders>
              <w:top w:val="nil"/>
              <w:left w:val="nil"/>
              <w:bottom w:val="single" w:sz="4" w:space="0" w:color="auto"/>
              <w:right w:val="single" w:sz="4" w:space="0" w:color="auto"/>
            </w:tcBorders>
            <w:shd w:val="clear" w:color="auto" w:fill="auto"/>
            <w:noWrap/>
            <w:vAlign w:val="center"/>
            <w:hideMark/>
          </w:tcPr>
          <w:p w14:paraId="7E6C967C"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2x216RB_3</w:t>
            </w:r>
          </w:p>
        </w:tc>
        <w:tc>
          <w:tcPr>
            <w:tcW w:w="516" w:type="dxa"/>
            <w:tcBorders>
              <w:top w:val="nil"/>
              <w:left w:val="nil"/>
              <w:bottom w:val="single" w:sz="4" w:space="0" w:color="auto"/>
              <w:right w:val="single" w:sz="4" w:space="0" w:color="auto"/>
            </w:tcBorders>
            <w:shd w:val="clear" w:color="auto" w:fill="auto"/>
            <w:noWrap/>
            <w:vAlign w:val="center"/>
            <w:hideMark/>
          </w:tcPr>
          <w:p w14:paraId="26D609E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auto"/>
            <w:noWrap/>
            <w:vAlign w:val="center"/>
            <w:hideMark/>
          </w:tcPr>
          <w:p w14:paraId="7C46003C"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auto"/>
            <w:noWrap/>
            <w:vAlign w:val="center"/>
            <w:hideMark/>
          </w:tcPr>
          <w:p w14:paraId="2483F58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auto"/>
            <w:noWrap/>
            <w:vAlign w:val="center"/>
            <w:hideMark/>
          </w:tcPr>
          <w:p w14:paraId="756F466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71" w:type="dxa"/>
            <w:tcBorders>
              <w:top w:val="nil"/>
              <w:left w:val="nil"/>
              <w:bottom w:val="single" w:sz="4" w:space="0" w:color="auto"/>
              <w:right w:val="single" w:sz="4" w:space="0" w:color="auto"/>
            </w:tcBorders>
            <w:shd w:val="clear" w:color="auto" w:fill="auto"/>
            <w:noWrap/>
            <w:vAlign w:val="center"/>
            <w:hideMark/>
          </w:tcPr>
          <w:p w14:paraId="48EDFCF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50" w:type="dxa"/>
            <w:tcBorders>
              <w:top w:val="nil"/>
              <w:left w:val="nil"/>
              <w:bottom w:val="single" w:sz="4" w:space="0" w:color="auto"/>
              <w:right w:val="single" w:sz="4" w:space="0" w:color="auto"/>
            </w:tcBorders>
            <w:shd w:val="clear" w:color="auto" w:fill="auto"/>
            <w:noWrap/>
            <w:vAlign w:val="center"/>
            <w:hideMark/>
          </w:tcPr>
          <w:p w14:paraId="6D0E9E9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41" w:type="dxa"/>
            <w:tcBorders>
              <w:top w:val="nil"/>
              <w:left w:val="nil"/>
              <w:bottom w:val="single" w:sz="4" w:space="0" w:color="auto"/>
              <w:right w:val="single" w:sz="4" w:space="0" w:color="auto"/>
            </w:tcBorders>
            <w:shd w:val="clear" w:color="auto" w:fill="auto"/>
            <w:noWrap/>
            <w:vAlign w:val="center"/>
            <w:hideMark/>
          </w:tcPr>
          <w:p w14:paraId="64E7FC2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250</w:t>
            </w:r>
          </w:p>
        </w:tc>
        <w:tc>
          <w:tcPr>
            <w:tcW w:w="539" w:type="dxa"/>
            <w:tcBorders>
              <w:top w:val="nil"/>
              <w:left w:val="nil"/>
              <w:bottom w:val="single" w:sz="4" w:space="0" w:color="auto"/>
              <w:right w:val="single" w:sz="4" w:space="0" w:color="auto"/>
            </w:tcBorders>
            <w:shd w:val="clear" w:color="auto" w:fill="auto"/>
            <w:noWrap/>
            <w:vAlign w:val="center"/>
            <w:hideMark/>
          </w:tcPr>
          <w:p w14:paraId="32C1153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w:t>
            </w:r>
          </w:p>
        </w:tc>
        <w:tc>
          <w:tcPr>
            <w:tcW w:w="630" w:type="dxa"/>
            <w:tcBorders>
              <w:top w:val="nil"/>
              <w:left w:val="nil"/>
              <w:bottom w:val="single" w:sz="4" w:space="0" w:color="auto"/>
              <w:right w:val="single" w:sz="4" w:space="0" w:color="auto"/>
            </w:tcBorders>
            <w:shd w:val="clear" w:color="auto" w:fill="auto"/>
            <w:noWrap/>
            <w:vAlign w:val="center"/>
            <w:hideMark/>
          </w:tcPr>
          <w:p w14:paraId="3458EAC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440</w:t>
            </w:r>
          </w:p>
        </w:tc>
        <w:tc>
          <w:tcPr>
            <w:tcW w:w="540" w:type="dxa"/>
            <w:tcBorders>
              <w:top w:val="nil"/>
              <w:left w:val="nil"/>
              <w:bottom w:val="single" w:sz="4" w:space="0" w:color="auto"/>
              <w:right w:val="single" w:sz="4" w:space="0" w:color="auto"/>
            </w:tcBorders>
            <w:shd w:val="clear" w:color="auto" w:fill="auto"/>
            <w:noWrap/>
            <w:vAlign w:val="center"/>
            <w:hideMark/>
          </w:tcPr>
          <w:p w14:paraId="5232B1EC"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2.8</w:t>
            </w:r>
          </w:p>
        </w:tc>
        <w:tc>
          <w:tcPr>
            <w:tcW w:w="630" w:type="dxa"/>
            <w:tcBorders>
              <w:top w:val="nil"/>
              <w:left w:val="nil"/>
              <w:bottom w:val="single" w:sz="4" w:space="0" w:color="auto"/>
              <w:right w:val="single" w:sz="4" w:space="0" w:color="auto"/>
            </w:tcBorders>
            <w:shd w:val="clear" w:color="auto" w:fill="auto"/>
            <w:noWrap/>
            <w:vAlign w:val="center"/>
            <w:hideMark/>
          </w:tcPr>
          <w:p w14:paraId="7DE0935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620</w:t>
            </w:r>
          </w:p>
        </w:tc>
        <w:tc>
          <w:tcPr>
            <w:tcW w:w="540" w:type="dxa"/>
            <w:tcBorders>
              <w:top w:val="nil"/>
              <w:left w:val="nil"/>
              <w:bottom w:val="single" w:sz="4" w:space="0" w:color="auto"/>
              <w:right w:val="single" w:sz="4" w:space="0" w:color="auto"/>
            </w:tcBorders>
            <w:shd w:val="clear" w:color="auto" w:fill="auto"/>
            <w:noWrap/>
            <w:vAlign w:val="center"/>
            <w:hideMark/>
          </w:tcPr>
          <w:p w14:paraId="2B81139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3.9</w:t>
            </w:r>
          </w:p>
        </w:tc>
        <w:tc>
          <w:tcPr>
            <w:tcW w:w="1170" w:type="dxa"/>
            <w:tcBorders>
              <w:top w:val="nil"/>
              <w:left w:val="nil"/>
              <w:bottom w:val="single" w:sz="4" w:space="0" w:color="auto"/>
              <w:right w:val="single" w:sz="4" w:space="0" w:color="auto"/>
            </w:tcBorders>
            <w:shd w:val="clear" w:color="auto" w:fill="auto"/>
            <w:noWrap/>
            <w:vAlign w:val="bottom"/>
            <w:hideMark/>
          </w:tcPr>
          <w:p w14:paraId="11D9A7D5" w14:textId="17478DAD"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r>
      <w:tr w:rsidR="00EF027D" w:rsidRPr="00704D55" w14:paraId="7D4A9EBC" w14:textId="77777777" w:rsidTr="003C535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65E3D54A"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707A71DD"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246F2066"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2x100RB_3</w:t>
            </w:r>
          </w:p>
        </w:tc>
        <w:tc>
          <w:tcPr>
            <w:tcW w:w="516" w:type="dxa"/>
            <w:tcBorders>
              <w:top w:val="nil"/>
              <w:left w:val="nil"/>
              <w:bottom w:val="single" w:sz="4" w:space="0" w:color="auto"/>
              <w:right w:val="single" w:sz="4" w:space="0" w:color="auto"/>
            </w:tcBorders>
            <w:shd w:val="clear" w:color="auto" w:fill="auto"/>
            <w:noWrap/>
            <w:vAlign w:val="center"/>
            <w:hideMark/>
          </w:tcPr>
          <w:p w14:paraId="563ABF4C"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auto"/>
            <w:noWrap/>
            <w:vAlign w:val="center"/>
            <w:hideMark/>
          </w:tcPr>
          <w:p w14:paraId="26C9A31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auto"/>
            <w:noWrap/>
            <w:vAlign w:val="center"/>
            <w:hideMark/>
          </w:tcPr>
          <w:p w14:paraId="2081C8E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auto"/>
            <w:noWrap/>
            <w:vAlign w:val="center"/>
            <w:hideMark/>
          </w:tcPr>
          <w:p w14:paraId="2E05E85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71" w:type="dxa"/>
            <w:tcBorders>
              <w:top w:val="nil"/>
              <w:left w:val="nil"/>
              <w:bottom w:val="single" w:sz="4" w:space="0" w:color="auto"/>
              <w:right w:val="single" w:sz="4" w:space="0" w:color="auto"/>
            </w:tcBorders>
            <w:shd w:val="clear" w:color="auto" w:fill="auto"/>
            <w:noWrap/>
            <w:vAlign w:val="center"/>
            <w:hideMark/>
          </w:tcPr>
          <w:p w14:paraId="33AF2CF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50" w:type="dxa"/>
            <w:tcBorders>
              <w:top w:val="nil"/>
              <w:left w:val="nil"/>
              <w:bottom w:val="single" w:sz="4" w:space="0" w:color="auto"/>
              <w:right w:val="single" w:sz="4" w:space="0" w:color="auto"/>
            </w:tcBorders>
            <w:shd w:val="clear" w:color="auto" w:fill="auto"/>
            <w:noWrap/>
            <w:vAlign w:val="center"/>
            <w:hideMark/>
          </w:tcPr>
          <w:p w14:paraId="625C037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41" w:type="dxa"/>
            <w:tcBorders>
              <w:top w:val="nil"/>
              <w:left w:val="nil"/>
              <w:bottom w:val="single" w:sz="4" w:space="0" w:color="auto"/>
              <w:right w:val="single" w:sz="4" w:space="0" w:color="auto"/>
            </w:tcBorders>
            <w:shd w:val="clear" w:color="auto" w:fill="auto"/>
            <w:noWrap/>
            <w:vAlign w:val="center"/>
            <w:hideMark/>
          </w:tcPr>
          <w:p w14:paraId="7EFF193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390</w:t>
            </w:r>
          </w:p>
        </w:tc>
        <w:tc>
          <w:tcPr>
            <w:tcW w:w="539" w:type="dxa"/>
            <w:tcBorders>
              <w:top w:val="nil"/>
              <w:left w:val="nil"/>
              <w:bottom w:val="single" w:sz="4" w:space="0" w:color="auto"/>
              <w:right w:val="single" w:sz="4" w:space="0" w:color="auto"/>
            </w:tcBorders>
            <w:shd w:val="clear" w:color="auto" w:fill="auto"/>
            <w:noWrap/>
            <w:vAlign w:val="center"/>
            <w:hideMark/>
          </w:tcPr>
          <w:p w14:paraId="1B7668E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2.4</w:t>
            </w:r>
          </w:p>
        </w:tc>
        <w:tc>
          <w:tcPr>
            <w:tcW w:w="630" w:type="dxa"/>
            <w:tcBorders>
              <w:top w:val="nil"/>
              <w:left w:val="nil"/>
              <w:bottom w:val="single" w:sz="4" w:space="0" w:color="auto"/>
              <w:right w:val="single" w:sz="4" w:space="0" w:color="auto"/>
            </w:tcBorders>
            <w:shd w:val="clear" w:color="auto" w:fill="auto"/>
            <w:noWrap/>
            <w:vAlign w:val="center"/>
            <w:hideMark/>
          </w:tcPr>
          <w:p w14:paraId="28A2782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450</w:t>
            </w:r>
          </w:p>
        </w:tc>
        <w:tc>
          <w:tcPr>
            <w:tcW w:w="540" w:type="dxa"/>
            <w:tcBorders>
              <w:top w:val="nil"/>
              <w:left w:val="nil"/>
              <w:bottom w:val="single" w:sz="4" w:space="0" w:color="auto"/>
              <w:right w:val="single" w:sz="4" w:space="0" w:color="auto"/>
            </w:tcBorders>
            <w:shd w:val="clear" w:color="auto" w:fill="auto"/>
            <w:noWrap/>
            <w:vAlign w:val="center"/>
            <w:hideMark/>
          </w:tcPr>
          <w:p w14:paraId="7BE81FA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2.8</w:t>
            </w:r>
          </w:p>
        </w:tc>
        <w:tc>
          <w:tcPr>
            <w:tcW w:w="630" w:type="dxa"/>
            <w:tcBorders>
              <w:top w:val="nil"/>
              <w:left w:val="nil"/>
              <w:bottom w:val="single" w:sz="4" w:space="0" w:color="auto"/>
              <w:right w:val="single" w:sz="4" w:space="0" w:color="auto"/>
            </w:tcBorders>
            <w:shd w:val="clear" w:color="auto" w:fill="auto"/>
            <w:noWrap/>
            <w:vAlign w:val="center"/>
            <w:hideMark/>
          </w:tcPr>
          <w:p w14:paraId="1313E97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780</w:t>
            </w:r>
          </w:p>
        </w:tc>
        <w:tc>
          <w:tcPr>
            <w:tcW w:w="540" w:type="dxa"/>
            <w:tcBorders>
              <w:top w:val="nil"/>
              <w:left w:val="nil"/>
              <w:bottom w:val="single" w:sz="4" w:space="0" w:color="auto"/>
              <w:right w:val="single" w:sz="4" w:space="0" w:color="auto"/>
            </w:tcBorders>
            <w:shd w:val="clear" w:color="auto" w:fill="auto"/>
            <w:noWrap/>
            <w:vAlign w:val="center"/>
            <w:hideMark/>
          </w:tcPr>
          <w:p w14:paraId="7DF06E4A"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4.9</w:t>
            </w:r>
          </w:p>
        </w:tc>
        <w:tc>
          <w:tcPr>
            <w:tcW w:w="1170" w:type="dxa"/>
            <w:tcBorders>
              <w:top w:val="nil"/>
              <w:left w:val="nil"/>
              <w:bottom w:val="single" w:sz="4" w:space="0" w:color="auto"/>
              <w:right w:val="single" w:sz="4" w:space="0" w:color="auto"/>
            </w:tcBorders>
            <w:shd w:val="clear" w:color="auto" w:fill="auto"/>
            <w:noWrap/>
            <w:vAlign w:val="bottom"/>
            <w:hideMark/>
          </w:tcPr>
          <w:p w14:paraId="0BC41AF3" w14:textId="2F12F2BA"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r>
      <w:tr w:rsidR="00EF027D" w:rsidRPr="00704D55" w14:paraId="57BCFAB2" w14:textId="77777777" w:rsidTr="003C535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32B896EC"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6E82A2B0"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24A83AAB"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2x012RB_3</w:t>
            </w:r>
          </w:p>
        </w:tc>
        <w:tc>
          <w:tcPr>
            <w:tcW w:w="516" w:type="dxa"/>
            <w:tcBorders>
              <w:top w:val="nil"/>
              <w:left w:val="nil"/>
              <w:bottom w:val="single" w:sz="4" w:space="0" w:color="auto"/>
              <w:right w:val="single" w:sz="4" w:space="0" w:color="auto"/>
            </w:tcBorders>
            <w:shd w:val="clear" w:color="auto" w:fill="auto"/>
            <w:noWrap/>
            <w:vAlign w:val="center"/>
            <w:hideMark/>
          </w:tcPr>
          <w:p w14:paraId="64DF67F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auto"/>
            <w:noWrap/>
            <w:vAlign w:val="center"/>
            <w:hideMark/>
          </w:tcPr>
          <w:p w14:paraId="69A56C1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auto"/>
            <w:noWrap/>
            <w:vAlign w:val="center"/>
            <w:hideMark/>
          </w:tcPr>
          <w:p w14:paraId="0A31838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480</w:t>
            </w:r>
          </w:p>
        </w:tc>
        <w:tc>
          <w:tcPr>
            <w:tcW w:w="419" w:type="dxa"/>
            <w:tcBorders>
              <w:top w:val="nil"/>
              <w:left w:val="nil"/>
              <w:bottom w:val="single" w:sz="4" w:space="0" w:color="auto"/>
              <w:right w:val="single" w:sz="4" w:space="0" w:color="auto"/>
            </w:tcBorders>
            <w:shd w:val="clear" w:color="auto" w:fill="auto"/>
            <w:noWrap/>
            <w:vAlign w:val="center"/>
            <w:hideMark/>
          </w:tcPr>
          <w:p w14:paraId="288EC614"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w:t>
            </w:r>
          </w:p>
        </w:tc>
        <w:tc>
          <w:tcPr>
            <w:tcW w:w="571" w:type="dxa"/>
            <w:tcBorders>
              <w:top w:val="nil"/>
              <w:left w:val="nil"/>
              <w:bottom w:val="single" w:sz="4" w:space="0" w:color="auto"/>
              <w:right w:val="single" w:sz="4" w:space="0" w:color="auto"/>
            </w:tcBorders>
            <w:shd w:val="clear" w:color="auto" w:fill="auto"/>
            <w:noWrap/>
            <w:vAlign w:val="center"/>
            <w:hideMark/>
          </w:tcPr>
          <w:p w14:paraId="0851BB6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480</w:t>
            </w:r>
          </w:p>
        </w:tc>
        <w:tc>
          <w:tcPr>
            <w:tcW w:w="450" w:type="dxa"/>
            <w:tcBorders>
              <w:top w:val="nil"/>
              <w:left w:val="nil"/>
              <w:bottom w:val="single" w:sz="4" w:space="0" w:color="auto"/>
              <w:right w:val="single" w:sz="4" w:space="0" w:color="auto"/>
            </w:tcBorders>
            <w:shd w:val="clear" w:color="auto" w:fill="auto"/>
            <w:noWrap/>
            <w:vAlign w:val="center"/>
            <w:hideMark/>
          </w:tcPr>
          <w:p w14:paraId="428FBCA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w:t>
            </w:r>
          </w:p>
        </w:tc>
        <w:tc>
          <w:tcPr>
            <w:tcW w:w="541" w:type="dxa"/>
            <w:tcBorders>
              <w:top w:val="nil"/>
              <w:left w:val="nil"/>
              <w:bottom w:val="single" w:sz="4" w:space="0" w:color="auto"/>
              <w:right w:val="single" w:sz="4" w:space="0" w:color="auto"/>
            </w:tcBorders>
            <w:shd w:val="clear" w:color="auto" w:fill="auto"/>
            <w:noWrap/>
            <w:vAlign w:val="center"/>
            <w:hideMark/>
          </w:tcPr>
          <w:p w14:paraId="1F45492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480</w:t>
            </w:r>
          </w:p>
        </w:tc>
        <w:tc>
          <w:tcPr>
            <w:tcW w:w="539" w:type="dxa"/>
            <w:tcBorders>
              <w:top w:val="nil"/>
              <w:left w:val="nil"/>
              <w:bottom w:val="single" w:sz="4" w:space="0" w:color="auto"/>
              <w:right w:val="single" w:sz="4" w:space="0" w:color="auto"/>
            </w:tcBorders>
            <w:shd w:val="clear" w:color="auto" w:fill="auto"/>
            <w:noWrap/>
            <w:vAlign w:val="center"/>
            <w:hideMark/>
          </w:tcPr>
          <w:p w14:paraId="4013577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w:t>
            </w:r>
          </w:p>
        </w:tc>
        <w:tc>
          <w:tcPr>
            <w:tcW w:w="630" w:type="dxa"/>
            <w:tcBorders>
              <w:top w:val="nil"/>
              <w:left w:val="nil"/>
              <w:bottom w:val="single" w:sz="4" w:space="0" w:color="auto"/>
              <w:right w:val="single" w:sz="4" w:space="0" w:color="auto"/>
            </w:tcBorders>
            <w:shd w:val="clear" w:color="auto" w:fill="auto"/>
            <w:noWrap/>
            <w:vAlign w:val="center"/>
            <w:hideMark/>
          </w:tcPr>
          <w:p w14:paraId="41107B2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1120</w:t>
            </w:r>
          </w:p>
        </w:tc>
        <w:tc>
          <w:tcPr>
            <w:tcW w:w="540" w:type="dxa"/>
            <w:tcBorders>
              <w:top w:val="nil"/>
              <w:left w:val="nil"/>
              <w:bottom w:val="single" w:sz="4" w:space="0" w:color="auto"/>
              <w:right w:val="single" w:sz="4" w:space="0" w:color="auto"/>
            </w:tcBorders>
            <w:shd w:val="clear" w:color="auto" w:fill="auto"/>
            <w:noWrap/>
            <w:vAlign w:val="center"/>
            <w:hideMark/>
          </w:tcPr>
          <w:p w14:paraId="3052579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7.0</w:t>
            </w:r>
          </w:p>
        </w:tc>
        <w:tc>
          <w:tcPr>
            <w:tcW w:w="630" w:type="dxa"/>
            <w:tcBorders>
              <w:top w:val="nil"/>
              <w:left w:val="nil"/>
              <w:bottom w:val="single" w:sz="4" w:space="0" w:color="auto"/>
              <w:right w:val="single" w:sz="4" w:space="0" w:color="auto"/>
            </w:tcBorders>
            <w:shd w:val="clear" w:color="auto" w:fill="auto"/>
            <w:noWrap/>
            <w:vAlign w:val="center"/>
            <w:hideMark/>
          </w:tcPr>
          <w:p w14:paraId="61F751C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1440</w:t>
            </w:r>
          </w:p>
        </w:tc>
        <w:tc>
          <w:tcPr>
            <w:tcW w:w="540" w:type="dxa"/>
            <w:tcBorders>
              <w:top w:val="nil"/>
              <w:left w:val="nil"/>
              <w:bottom w:val="single" w:sz="4" w:space="0" w:color="auto"/>
              <w:right w:val="single" w:sz="4" w:space="0" w:color="auto"/>
            </w:tcBorders>
            <w:shd w:val="clear" w:color="auto" w:fill="auto"/>
            <w:noWrap/>
            <w:vAlign w:val="center"/>
            <w:hideMark/>
          </w:tcPr>
          <w:p w14:paraId="6809779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9.0</w:t>
            </w:r>
          </w:p>
        </w:tc>
        <w:tc>
          <w:tcPr>
            <w:tcW w:w="1170" w:type="dxa"/>
            <w:tcBorders>
              <w:top w:val="nil"/>
              <w:left w:val="nil"/>
              <w:bottom w:val="single" w:sz="4" w:space="0" w:color="auto"/>
              <w:right w:val="single" w:sz="4" w:space="0" w:color="auto"/>
            </w:tcBorders>
            <w:shd w:val="clear" w:color="auto" w:fill="auto"/>
            <w:noWrap/>
            <w:vAlign w:val="bottom"/>
            <w:hideMark/>
          </w:tcPr>
          <w:p w14:paraId="4E3EBBF1" w14:textId="04F68AFD"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r>
      <w:tr w:rsidR="00CF4EDE" w:rsidRPr="00704D55" w14:paraId="100442D0" w14:textId="77777777" w:rsidTr="003C535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07EA58F5"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44635DC2"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3310C281"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2x001RB_4</w:t>
            </w:r>
          </w:p>
        </w:tc>
        <w:tc>
          <w:tcPr>
            <w:tcW w:w="516" w:type="dxa"/>
            <w:tcBorders>
              <w:top w:val="nil"/>
              <w:left w:val="nil"/>
              <w:bottom w:val="single" w:sz="4" w:space="0" w:color="auto"/>
              <w:right w:val="single" w:sz="4" w:space="0" w:color="auto"/>
            </w:tcBorders>
            <w:shd w:val="clear" w:color="000000" w:fill="00B0F0"/>
            <w:noWrap/>
            <w:vAlign w:val="center"/>
            <w:hideMark/>
          </w:tcPr>
          <w:p w14:paraId="25029F5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000000" w:fill="00B0F0"/>
            <w:noWrap/>
            <w:vAlign w:val="center"/>
            <w:hideMark/>
          </w:tcPr>
          <w:p w14:paraId="70A7833A"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000000" w:fill="00B0F0"/>
            <w:noWrap/>
            <w:vAlign w:val="center"/>
            <w:hideMark/>
          </w:tcPr>
          <w:p w14:paraId="656231D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480</w:t>
            </w:r>
          </w:p>
        </w:tc>
        <w:tc>
          <w:tcPr>
            <w:tcW w:w="419" w:type="dxa"/>
            <w:tcBorders>
              <w:top w:val="nil"/>
              <w:left w:val="nil"/>
              <w:bottom w:val="single" w:sz="4" w:space="0" w:color="auto"/>
              <w:right w:val="single" w:sz="4" w:space="0" w:color="auto"/>
            </w:tcBorders>
            <w:shd w:val="clear" w:color="000000" w:fill="00B0F0"/>
            <w:noWrap/>
            <w:vAlign w:val="center"/>
            <w:hideMark/>
          </w:tcPr>
          <w:p w14:paraId="031FFDC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w:t>
            </w:r>
          </w:p>
        </w:tc>
        <w:tc>
          <w:tcPr>
            <w:tcW w:w="571" w:type="dxa"/>
            <w:tcBorders>
              <w:top w:val="nil"/>
              <w:left w:val="nil"/>
              <w:bottom w:val="single" w:sz="4" w:space="0" w:color="auto"/>
              <w:right w:val="single" w:sz="4" w:space="0" w:color="auto"/>
            </w:tcBorders>
            <w:shd w:val="clear" w:color="000000" w:fill="00B0F0"/>
            <w:noWrap/>
            <w:vAlign w:val="center"/>
            <w:hideMark/>
          </w:tcPr>
          <w:p w14:paraId="7D574C8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480</w:t>
            </w:r>
          </w:p>
        </w:tc>
        <w:tc>
          <w:tcPr>
            <w:tcW w:w="450" w:type="dxa"/>
            <w:tcBorders>
              <w:top w:val="nil"/>
              <w:left w:val="nil"/>
              <w:bottom w:val="single" w:sz="4" w:space="0" w:color="auto"/>
              <w:right w:val="single" w:sz="4" w:space="0" w:color="auto"/>
            </w:tcBorders>
            <w:shd w:val="clear" w:color="000000" w:fill="00B0F0"/>
            <w:noWrap/>
            <w:vAlign w:val="center"/>
            <w:hideMark/>
          </w:tcPr>
          <w:p w14:paraId="191FA85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w:t>
            </w:r>
          </w:p>
        </w:tc>
        <w:tc>
          <w:tcPr>
            <w:tcW w:w="541" w:type="dxa"/>
            <w:tcBorders>
              <w:top w:val="nil"/>
              <w:left w:val="nil"/>
              <w:bottom w:val="single" w:sz="4" w:space="0" w:color="auto"/>
              <w:right w:val="single" w:sz="4" w:space="0" w:color="auto"/>
            </w:tcBorders>
            <w:shd w:val="clear" w:color="000000" w:fill="00B0F0"/>
            <w:noWrap/>
            <w:vAlign w:val="center"/>
            <w:hideMark/>
          </w:tcPr>
          <w:p w14:paraId="6E8A0584"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480</w:t>
            </w:r>
          </w:p>
        </w:tc>
        <w:tc>
          <w:tcPr>
            <w:tcW w:w="539" w:type="dxa"/>
            <w:tcBorders>
              <w:top w:val="nil"/>
              <w:left w:val="nil"/>
              <w:bottom w:val="single" w:sz="4" w:space="0" w:color="auto"/>
              <w:right w:val="single" w:sz="4" w:space="0" w:color="auto"/>
            </w:tcBorders>
            <w:shd w:val="clear" w:color="000000" w:fill="00B0F0"/>
            <w:noWrap/>
            <w:vAlign w:val="center"/>
            <w:hideMark/>
          </w:tcPr>
          <w:p w14:paraId="4002991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w:t>
            </w:r>
          </w:p>
        </w:tc>
        <w:tc>
          <w:tcPr>
            <w:tcW w:w="630" w:type="dxa"/>
            <w:tcBorders>
              <w:top w:val="nil"/>
              <w:left w:val="nil"/>
              <w:bottom w:val="single" w:sz="4" w:space="0" w:color="auto"/>
              <w:right w:val="single" w:sz="4" w:space="0" w:color="auto"/>
            </w:tcBorders>
            <w:shd w:val="clear" w:color="000000" w:fill="00B0F0"/>
            <w:noWrap/>
            <w:vAlign w:val="center"/>
            <w:hideMark/>
          </w:tcPr>
          <w:p w14:paraId="3EB7857C"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1120</w:t>
            </w:r>
          </w:p>
        </w:tc>
        <w:tc>
          <w:tcPr>
            <w:tcW w:w="540" w:type="dxa"/>
            <w:tcBorders>
              <w:top w:val="nil"/>
              <w:left w:val="nil"/>
              <w:bottom w:val="single" w:sz="4" w:space="0" w:color="auto"/>
              <w:right w:val="single" w:sz="4" w:space="0" w:color="auto"/>
            </w:tcBorders>
            <w:shd w:val="clear" w:color="000000" w:fill="00B0F0"/>
            <w:noWrap/>
            <w:vAlign w:val="center"/>
            <w:hideMark/>
          </w:tcPr>
          <w:p w14:paraId="2188AB2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7.0</w:t>
            </w:r>
          </w:p>
        </w:tc>
        <w:tc>
          <w:tcPr>
            <w:tcW w:w="630" w:type="dxa"/>
            <w:tcBorders>
              <w:top w:val="nil"/>
              <w:left w:val="nil"/>
              <w:bottom w:val="single" w:sz="4" w:space="0" w:color="auto"/>
              <w:right w:val="single" w:sz="4" w:space="0" w:color="auto"/>
            </w:tcBorders>
            <w:shd w:val="clear" w:color="000000" w:fill="00B0F0"/>
            <w:noWrap/>
            <w:vAlign w:val="center"/>
            <w:hideMark/>
          </w:tcPr>
          <w:p w14:paraId="1319FCF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1440</w:t>
            </w:r>
          </w:p>
        </w:tc>
        <w:tc>
          <w:tcPr>
            <w:tcW w:w="540" w:type="dxa"/>
            <w:tcBorders>
              <w:top w:val="nil"/>
              <w:left w:val="nil"/>
              <w:bottom w:val="single" w:sz="4" w:space="0" w:color="auto"/>
              <w:right w:val="single" w:sz="4" w:space="0" w:color="auto"/>
            </w:tcBorders>
            <w:shd w:val="clear" w:color="000000" w:fill="00B0F0"/>
            <w:noWrap/>
            <w:vAlign w:val="center"/>
            <w:hideMark/>
          </w:tcPr>
          <w:p w14:paraId="670A396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9.0</w:t>
            </w:r>
          </w:p>
        </w:tc>
        <w:tc>
          <w:tcPr>
            <w:tcW w:w="1170" w:type="dxa"/>
            <w:tcBorders>
              <w:top w:val="nil"/>
              <w:left w:val="nil"/>
              <w:bottom w:val="single" w:sz="4" w:space="0" w:color="auto"/>
              <w:right w:val="single" w:sz="4" w:space="0" w:color="auto"/>
            </w:tcBorders>
            <w:shd w:val="clear" w:color="000000" w:fill="00B0F0"/>
            <w:noWrap/>
            <w:vAlign w:val="bottom"/>
            <w:hideMark/>
          </w:tcPr>
          <w:p w14:paraId="0E488AD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TDD_C</w:t>
            </w:r>
          </w:p>
        </w:tc>
      </w:tr>
      <w:tr w:rsidR="00EF027D" w:rsidRPr="00704D55" w14:paraId="3986C2D0" w14:textId="77777777" w:rsidTr="003C535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0E83E914"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914AA0" w14:textId="77777777"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H1+H2</w:t>
            </w:r>
          </w:p>
        </w:tc>
        <w:tc>
          <w:tcPr>
            <w:tcW w:w="1025" w:type="dxa"/>
            <w:tcBorders>
              <w:top w:val="nil"/>
              <w:left w:val="nil"/>
              <w:bottom w:val="single" w:sz="4" w:space="0" w:color="auto"/>
              <w:right w:val="single" w:sz="4" w:space="0" w:color="auto"/>
            </w:tcBorders>
            <w:shd w:val="clear" w:color="auto" w:fill="auto"/>
            <w:noWrap/>
            <w:vAlign w:val="center"/>
            <w:hideMark/>
          </w:tcPr>
          <w:p w14:paraId="61E8DC53"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2x216RB_3</w:t>
            </w:r>
          </w:p>
        </w:tc>
        <w:tc>
          <w:tcPr>
            <w:tcW w:w="516" w:type="dxa"/>
            <w:tcBorders>
              <w:top w:val="nil"/>
              <w:left w:val="nil"/>
              <w:bottom w:val="single" w:sz="4" w:space="0" w:color="auto"/>
              <w:right w:val="single" w:sz="4" w:space="0" w:color="auto"/>
            </w:tcBorders>
            <w:shd w:val="clear" w:color="auto" w:fill="auto"/>
            <w:noWrap/>
            <w:vAlign w:val="center"/>
            <w:hideMark/>
          </w:tcPr>
          <w:p w14:paraId="3D59544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auto"/>
            <w:noWrap/>
            <w:vAlign w:val="center"/>
            <w:hideMark/>
          </w:tcPr>
          <w:p w14:paraId="27026EB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auto"/>
            <w:noWrap/>
            <w:vAlign w:val="center"/>
            <w:hideMark/>
          </w:tcPr>
          <w:p w14:paraId="235D932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19" w:type="dxa"/>
            <w:tcBorders>
              <w:top w:val="nil"/>
              <w:left w:val="nil"/>
              <w:bottom w:val="single" w:sz="4" w:space="0" w:color="auto"/>
              <w:right w:val="single" w:sz="4" w:space="0" w:color="auto"/>
            </w:tcBorders>
            <w:shd w:val="clear" w:color="auto" w:fill="auto"/>
            <w:noWrap/>
            <w:vAlign w:val="center"/>
            <w:hideMark/>
          </w:tcPr>
          <w:p w14:paraId="57E24B7A"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71" w:type="dxa"/>
            <w:tcBorders>
              <w:top w:val="nil"/>
              <w:left w:val="nil"/>
              <w:bottom w:val="single" w:sz="4" w:space="0" w:color="auto"/>
              <w:right w:val="single" w:sz="4" w:space="0" w:color="auto"/>
            </w:tcBorders>
            <w:shd w:val="clear" w:color="auto" w:fill="auto"/>
            <w:noWrap/>
            <w:vAlign w:val="center"/>
            <w:hideMark/>
          </w:tcPr>
          <w:p w14:paraId="1F767624"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50" w:type="dxa"/>
            <w:tcBorders>
              <w:top w:val="nil"/>
              <w:left w:val="nil"/>
              <w:bottom w:val="single" w:sz="4" w:space="0" w:color="auto"/>
              <w:right w:val="single" w:sz="4" w:space="0" w:color="auto"/>
            </w:tcBorders>
            <w:shd w:val="clear" w:color="auto" w:fill="auto"/>
            <w:noWrap/>
            <w:vAlign w:val="center"/>
            <w:hideMark/>
          </w:tcPr>
          <w:p w14:paraId="1E9F0F5C"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41" w:type="dxa"/>
            <w:tcBorders>
              <w:top w:val="nil"/>
              <w:left w:val="nil"/>
              <w:bottom w:val="single" w:sz="4" w:space="0" w:color="auto"/>
              <w:right w:val="single" w:sz="4" w:space="0" w:color="auto"/>
            </w:tcBorders>
            <w:shd w:val="clear" w:color="auto" w:fill="auto"/>
            <w:noWrap/>
            <w:vAlign w:val="center"/>
            <w:hideMark/>
          </w:tcPr>
          <w:p w14:paraId="571CEC7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539" w:type="dxa"/>
            <w:tcBorders>
              <w:top w:val="nil"/>
              <w:left w:val="nil"/>
              <w:bottom w:val="single" w:sz="4" w:space="0" w:color="auto"/>
              <w:right w:val="single" w:sz="4" w:space="0" w:color="auto"/>
            </w:tcBorders>
            <w:shd w:val="clear" w:color="auto" w:fill="auto"/>
            <w:noWrap/>
            <w:vAlign w:val="center"/>
            <w:hideMark/>
          </w:tcPr>
          <w:p w14:paraId="0BA7E22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630" w:type="dxa"/>
            <w:tcBorders>
              <w:top w:val="nil"/>
              <w:left w:val="nil"/>
              <w:bottom w:val="single" w:sz="4" w:space="0" w:color="auto"/>
              <w:right w:val="single" w:sz="4" w:space="0" w:color="auto"/>
            </w:tcBorders>
            <w:shd w:val="clear" w:color="auto" w:fill="auto"/>
            <w:noWrap/>
            <w:vAlign w:val="center"/>
            <w:hideMark/>
          </w:tcPr>
          <w:p w14:paraId="429CAF7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540" w:type="dxa"/>
            <w:tcBorders>
              <w:top w:val="nil"/>
              <w:left w:val="nil"/>
              <w:bottom w:val="single" w:sz="4" w:space="0" w:color="auto"/>
              <w:right w:val="single" w:sz="4" w:space="0" w:color="auto"/>
            </w:tcBorders>
            <w:shd w:val="clear" w:color="auto" w:fill="auto"/>
            <w:noWrap/>
            <w:vAlign w:val="center"/>
            <w:hideMark/>
          </w:tcPr>
          <w:p w14:paraId="100531C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630" w:type="dxa"/>
            <w:tcBorders>
              <w:top w:val="nil"/>
              <w:left w:val="nil"/>
              <w:bottom w:val="single" w:sz="4" w:space="0" w:color="auto"/>
              <w:right w:val="single" w:sz="4" w:space="0" w:color="auto"/>
            </w:tcBorders>
            <w:shd w:val="clear" w:color="auto" w:fill="auto"/>
            <w:noWrap/>
            <w:vAlign w:val="center"/>
            <w:hideMark/>
          </w:tcPr>
          <w:p w14:paraId="32530080" w14:textId="013EAEFB"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+280</w:t>
            </w:r>
          </w:p>
        </w:tc>
        <w:tc>
          <w:tcPr>
            <w:tcW w:w="540" w:type="dxa"/>
            <w:tcBorders>
              <w:top w:val="nil"/>
              <w:left w:val="nil"/>
              <w:bottom w:val="single" w:sz="4" w:space="0" w:color="auto"/>
              <w:right w:val="single" w:sz="4" w:space="0" w:color="auto"/>
            </w:tcBorders>
            <w:shd w:val="clear" w:color="auto" w:fill="auto"/>
            <w:noWrap/>
            <w:vAlign w:val="center"/>
            <w:hideMark/>
          </w:tcPr>
          <w:p w14:paraId="3546EF3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1.8</w:t>
            </w:r>
          </w:p>
        </w:tc>
        <w:tc>
          <w:tcPr>
            <w:tcW w:w="1170" w:type="dxa"/>
            <w:tcBorders>
              <w:top w:val="nil"/>
              <w:left w:val="nil"/>
              <w:bottom w:val="single" w:sz="4" w:space="0" w:color="auto"/>
              <w:right w:val="single" w:sz="4" w:space="0" w:color="auto"/>
            </w:tcBorders>
            <w:shd w:val="clear" w:color="auto" w:fill="auto"/>
            <w:noWrap/>
            <w:vAlign w:val="bottom"/>
            <w:hideMark/>
          </w:tcPr>
          <w:p w14:paraId="7D54CE99" w14:textId="5CCB86F5"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r>
      <w:tr w:rsidR="00EF027D" w:rsidRPr="00704D55" w14:paraId="3A9F4825" w14:textId="77777777" w:rsidTr="003C535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01EC6987"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659909DA"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3B1BD7AD"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2x100RB_3</w:t>
            </w:r>
          </w:p>
        </w:tc>
        <w:tc>
          <w:tcPr>
            <w:tcW w:w="516" w:type="dxa"/>
            <w:tcBorders>
              <w:top w:val="nil"/>
              <w:left w:val="nil"/>
              <w:bottom w:val="single" w:sz="4" w:space="0" w:color="auto"/>
              <w:right w:val="single" w:sz="4" w:space="0" w:color="auto"/>
            </w:tcBorders>
            <w:shd w:val="clear" w:color="auto" w:fill="auto"/>
            <w:noWrap/>
            <w:vAlign w:val="center"/>
            <w:hideMark/>
          </w:tcPr>
          <w:p w14:paraId="362DCC6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auto"/>
            <w:noWrap/>
            <w:vAlign w:val="center"/>
            <w:hideMark/>
          </w:tcPr>
          <w:p w14:paraId="1607935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auto"/>
            <w:noWrap/>
            <w:vAlign w:val="center"/>
            <w:hideMark/>
          </w:tcPr>
          <w:p w14:paraId="3BAC371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19" w:type="dxa"/>
            <w:tcBorders>
              <w:top w:val="nil"/>
              <w:left w:val="nil"/>
              <w:bottom w:val="single" w:sz="4" w:space="0" w:color="auto"/>
              <w:right w:val="single" w:sz="4" w:space="0" w:color="auto"/>
            </w:tcBorders>
            <w:shd w:val="clear" w:color="auto" w:fill="auto"/>
            <w:noWrap/>
            <w:vAlign w:val="center"/>
            <w:hideMark/>
          </w:tcPr>
          <w:p w14:paraId="58CB2A7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71" w:type="dxa"/>
            <w:tcBorders>
              <w:top w:val="nil"/>
              <w:left w:val="nil"/>
              <w:bottom w:val="single" w:sz="4" w:space="0" w:color="auto"/>
              <w:right w:val="single" w:sz="4" w:space="0" w:color="auto"/>
            </w:tcBorders>
            <w:shd w:val="clear" w:color="auto" w:fill="auto"/>
            <w:noWrap/>
            <w:vAlign w:val="center"/>
            <w:hideMark/>
          </w:tcPr>
          <w:p w14:paraId="0528729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50" w:type="dxa"/>
            <w:tcBorders>
              <w:top w:val="nil"/>
              <w:left w:val="nil"/>
              <w:bottom w:val="single" w:sz="4" w:space="0" w:color="auto"/>
              <w:right w:val="single" w:sz="4" w:space="0" w:color="auto"/>
            </w:tcBorders>
            <w:shd w:val="clear" w:color="auto" w:fill="auto"/>
            <w:noWrap/>
            <w:vAlign w:val="center"/>
            <w:hideMark/>
          </w:tcPr>
          <w:p w14:paraId="7BC0EB8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41" w:type="dxa"/>
            <w:tcBorders>
              <w:top w:val="nil"/>
              <w:left w:val="nil"/>
              <w:bottom w:val="single" w:sz="4" w:space="0" w:color="auto"/>
              <w:right w:val="single" w:sz="4" w:space="0" w:color="auto"/>
            </w:tcBorders>
            <w:shd w:val="clear" w:color="auto" w:fill="auto"/>
            <w:noWrap/>
            <w:vAlign w:val="center"/>
            <w:hideMark/>
          </w:tcPr>
          <w:p w14:paraId="3317E69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539" w:type="dxa"/>
            <w:tcBorders>
              <w:top w:val="nil"/>
              <w:left w:val="nil"/>
              <w:bottom w:val="single" w:sz="4" w:space="0" w:color="auto"/>
              <w:right w:val="single" w:sz="4" w:space="0" w:color="auto"/>
            </w:tcBorders>
            <w:shd w:val="clear" w:color="auto" w:fill="auto"/>
            <w:noWrap/>
            <w:vAlign w:val="center"/>
            <w:hideMark/>
          </w:tcPr>
          <w:p w14:paraId="36F52AC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630" w:type="dxa"/>
            <w:tcBorders>
              <w:top w:val="nil"/>
              <w:left w:val="nil"/>
              <w:bottom w:val="single" w:sz="4" w:space="0" w:color="auto"/>
              <w:right w:val="single" w:sz="4" w:space="0" w:color="auto"/>
            </w:tcBorders>
            <w:shd w:val="clear" w:color="auto" w:fill="auto"/>
            <w:noWrap/>
            <w:vAlign w:val="center"/>
            <w:hideMark/>
          </w:tcPr>
          <w:p w14:paraId="7676256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540" w:type="dxa"/>
            <w:tcBorders>
              <w:top w:val="nil"/>
              <w:left w:val="nil"/>
              <w:bottom w:val="single" w:sz="4" w:space="0" w:color="auto"/>
              <w:right w:val="single" w:sz="4" w:space="0" w:color="auto"/>
            </w:tcBorders>
            <w:shd w:val="clear" w:color="auto" w:fill="auto"/>
            <w:noWrap/>
            <w:vAlign w:val="center"/>
            <w:hideMark/>
          </w:tcPr>
          <w:p w14:paraId="2D859A7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630" w:type="dxa"/>
            <w:tcBorders>
              <w:top w:val="nil"/>
              <w:left w:val="nil"/>
              <w:bottom w:val="single" w:sz="4" w:space="0" w:color="auto"/>
              <w:right w:val="single" w:sz="4" w:space="0" w:color="auto"/>
            </w:tcBorders>
            <w:shd w:val="clear" w:color="auto" w:fill="auto"/>
            <w:noWrap/>
            <w:vAlign w:val="center"/>
            <w:hideMark/>
          </w:tcPr>
          <w:p w14:paraId="79847E8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+480</w:t>
            </w:r>
          </w:p>
        </w:tc>
        <w:tc>
          <w:tcPr>
            <w:tcW w:w="540" w:type="dxa"/>
            <w:tcBorders>
              <w:top w:val="nil"/>
              <w:left w:val="nil"/>
              <w:bottom w:val="single" w:sz="4" w:space="0" w:color="auto"/>
              <w:right w:val="single" w:sz="4" w:space="0" w:color="auto"/>
            </w:tcBorders>
            <w:shd w:val="clear" w:color="auto" w:fill="auto"/>
            <w:noWrap/>
            <w:vAlign w:val="center"/>
            <w:hideMark/>
          </w:tcPr>
          <w:p w14:paraId="6AF802EC"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w:t>
            </w:r>
          </w:p>
        </w:tc>
        <w:tc>
          <w:tcPr>
            <w:tcW w:w="1170" w:type="dxa"/>
            <w:tcBorders>
              <w:top w:val="nil"/>
              <w:left w:val="nil"/>
              <w:bottom w:val="single" w:sz="4" w:space="0" w:color="auto"/>
              <w:right w:val="single" w:sz="4" w:space="0" w:color="auto"/>
            </w:tcBorders>
            <w:shd w:val="clear" w:color="auto" w:fill="auto"/>
            <w:noWrap/>
            <w:vAlign w:val="bottom"/>
            <w:hideMark/>
          </w:tcPr>
          <w:p w14:paraId="479502F5" w14:textId="0705528E"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r>
      <w:tr w:rsidR="00EF027D" w:rsidRPr="00704D55" w14:paraId="6CC9BDB9" w14:textId="77777777" w:rsidTr="003C535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0B9F96CD"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0468E468"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470F2A85"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2x012RB_3</w:t>
            </w:r>
          </w:p>
        </w:tc>
        <w:tc>
          <w:tcPr>
            <w:tcW w:w="516" w:type="dxa"/>
            <w:tcBorders>
              <w:top w:val="nil"/>
              <w:left w:val="nil"/>
              <w:bottom w:val="single" w:sz="4" w:space="0" w:color="auto"/>
              <w:right w:val="single" w:sz="4" w:space="0" w:color="auto"/>
            </w:tcBorders>
            <w:shd w:val="clear" w:color="auto" w:fill="auto"/>
            <w:noWrap/>
            <w:vAlign w:val="center"/>
            <w:hideMark/>
          </w:tcPr>
          <w:p w14:paraId="2BDF07C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auto"/>
            <w:noWrap/>
            <w:vAlign w:val="center"/>
            <w:hideMark/>
          </w:tcPr>
          <w:p w14:paraId="2639765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auto"/>
            <w:noWrap/>
            <w:vAlign w:val="center"/>
            <w:hideMark/>
          </w:tcPr>
          <w:p w14:paraId="057DD1C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19" w:type="dxa"/>
            <w:tcBorders>
              <w:top w:val="nil"/>
              <w:left w:val="nil"/>
              <w:bottom w:val="single" w:sz="4" w:space="0" w:color="auto"/>
              <w:right w:val="single" w:sz="4" w:space="0" w:color="auto"/>
            </w:tcBorders>
            <w:shd w:val="clear" w:color="auto" w:fill="auto"/>
            <w:noWrap/>
            <w:vAlign w:val="center"/>
            <w:hideMark/>
          </w:tcPr>
          <w:p w14:paraId="46E5A7E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71" w:type="dxa"/>
            <w:tcBorders>
              <w:top w:val="nil"/>
              <w:left w:val="nil"/>
              <w:bottom w:val="single" w:sz="4" w:space="0" w:color="auto"/>
              <w:right w:val="single" w:sz="4" w:space="0" w:color="auto"/>
            </w:tcBorders>
            <w:shd w:val="clear" w:color="auto" w:fill="auto"/>
            <w:noWrap/>
            <w:vAlign w:val="center"/>
            <w:hideMark/>
          </w:tcPr>
          <w:p w14:paraId="7366C58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50" w:type="dxa"/>
            <w:tcBorders>
              <w:top w:val="nil"/>
              <w:left w:val="nil"/>
              <w:bottom w:val="single" w:sz="4" w:space="0" w:color="auto"/>
              <w:right w:val="single" w:sz="4" w:space="0" w:color="auto"/>
            </w:tcBorders>
            <w:shd w:val="clear" w:color="auto" w:fill="auto"/>
            <w:noWrap/>
            <w:vAlign w:val="center"/>
            <w:hideMark/>
          </w:tcPr>
          <w:p w14:paraId="48B55F0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41" w:type="dxa"/>
            <w:tcBorders>
              <w:top w:val="nil"/>
              <w:left w:val="nil"/>
              <w:bottom w:val="single" w:sz="4" w:space="0" w:color="auto"/>
              <w:right w:val="single" w:sz="4" w:space="0" w:color="auto"/>
            </w:tcBorders>
            <w:shd w:val="clear" w:color="auto" w:fill="auto"/>
            <w:noWrap/>
            <w:vAlign w:val="center"/>
            <w:hideMark/>
          </w:tcPr>
          <w:p w14:paraId="710B815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539" w:type="dxa"/>
            <w:tcBorders>
              <w:top w:val="nil"/>
              <w:left w:val="nil"/>
              <w:bottom w:val="single" w:sz="4" w:space="0" w:color="auto"/>
              <w:right w:val="single" w:sz="4" w:space="0" w:color="auto"/>
            </w:tcBorders>
            <w:shd w:val="clear" w:color="auto" w:fill="auto"/>
            <w:noWrap/>
            <w:vAlign w:val="center"/>
            <w:hideMark/>
          </w:tcPr>
          <w:p w14:paraId="616E7CE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630" w:type="dxa"/>
            <w:tcBorders>
              <w:top w:val="nil"/>
              <w:left w:val="nil"/>
              <w:bottom w:val="single" w:sz="4" w:space="0" w:color="auto"/>
              <w:right w:val="single" w:sz="4" w:space="0" w:color="auto"/>
            </w:tcBorders>
            <w:shd w:val="clear" w:color="auto" w:fill="auto"/>
            <w:noWrap/>
            <w:vAlign w:val="center"/>
            <w:hideMark/>
          </w:tcPr>
          <w:p w14:paraId="66BA01F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+320</w:t>
            </w:r>
          </w:p>
        </w:tc>
        <w:tc>
          <w:tcPr>
            <w:tcW w:w="540" w:type="dxa"/>
            <w:tcBorders>
              <w:top w:val="nil"/>
              <w:left w:val="nil"/>
              <w:bottom w:val="single" w:sz="4" w:space="0" w:color="auto"/>
              <w:right w:val="single" w:sz="4" w:space="0" w:color="auto"/>
            </w:tcBorders>
            <w:shd w:val="clear" w:color="auto" w:fill="auto"/>
            <w:noWrap/>
            <w:vAlign w:val="center"/>
            <w:hideMark/>
          </w:tcPr>
          <w:p w14:paraId="08EADB2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w:t>
            </w:r>
          </w:p>
        </w:tc>
        <w:tc>
          <w:tcPr>
            <w:tcW w:w="630" w:type="dxa"/>
            <w:tcBorders>
              <w:top w:val="nil"/>
              <w:left w:val="nil"/>
              <w:bottom w:val="single" w:sz="4" w:space="0" w:color="auto"/>
              <w:right w:val="single" w:sz="4" w:space="0" w:color="auto"/>
            </w:tcBorders>
            <w:shd w:val="clear" w:color="auto" w:fill="auto"/>
            <w:noWrap/>
            <w:vAlign w:val="center"/>
            <w:hideMark/>
          </w:tcPr>
          <w:p w14:paraId="34E5CF9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+640</w:t>
            </w:r>
          </w:p>
        </w:tc>
        <w:tc>
          <w:tcPr>
            <w:tcW w:w="540" w:type="dxa"/>
            <w:tcBorders>
              <w:top w:val="nil"/>
              <w:left w:val="nil"/>
              <w:bottom w:val="single" w:sz="4" w:space="0" w:color="auto"/>
              <w:right w:val="single" w:sz="4" w:space="0" w:color="auto"/>
            </w:tcBorders>
            <w:shd w:val="clear" w:color="auto" w:fill="auto"/>
            <w:noWrap/>
            <w:vAlign w:val="center"/>
            <w:hideMark/>
          </w:tcPr>
          <w:p w14:paraId="6F58BF3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4.0</w:t>
            </w:r>
          </w:p>
        </w:tc>
        <w:tc>
          <w:tcPr>
            <w:tcW w:w="1170" w:type="dxa"/>
            <w:tcBorders>
              <w:top w:val="nil"/>
              <w:left w:val="nil"/>
              <w:bottom w:val="single" w:sz="4" w:space="0" w:color="auto"/>
              <w:right w:val="single" w:sz="4" w:space="0" w:color="auto"/>
            </w:tcBorders>
            <w:shd w:val="clear" w:color="auto" w:fill="auto"/>
            <w:noWrap/>
            <w:vAlign w:val="bottom"/>
            <w:hideMark/>
          </w:tcPr>
          <w:p w14:paraId="3AABD2FB" w14:textId="723CBF9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r>
      <w:tr w:rsidR="00CF4EDE" w:rsidRPr="00704D55" w14:paraId="5F1861D4" w14:textId="77777777" w:rsidTr="003C535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12805A8C"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611E558B"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63C4A789"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2x001RB_4</w:t>
            </w:r>
          </w:p>
        </w:tc>
        <w:tc>
          <w:tcPr>
            <w:tcW w:w="516" w:type="dxa"/>
            <w:tcBorders>
              <w:top w:val="nil"/>
              <w:left w:val="nil"/>
              <w:bottom w:val="single" w:sz="4" w:space="0" w:color="auto"/>
              <w:right w:val="single" w:sz="4" w:space="0" w:color="auto"/>
            </w:tcBorders>
            <w:shd w:val="clear" w:color="000000" w:fill="00B0F0"/>
            <w:noWrap/>
            <w:vAlign w:val="center"/>
            <w:hideMark/>
          </w:tcPr>
          <w:p w14:paraId="0A5C1E2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000000" w:fill="00B0F0"/>
            <w:noWrap/>
            <w:vAlign w:val="center"/>
            <w:hideMark/>
          </w:tcPr>
          <w:p w14:paraId="0AFD301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000000" w:fill="00B0F0"/>
            <w:noWrap/>
            <w:vAlign w:val="center"/>
            <w:hideMark/>
          </w:tcPr>
          <w:p w14:paraId="2E2A69C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19" w:type="dxa"/>
            <w:tcBorders>
              <w:top w:val="nil"/>
              <w:left w:val="nil"/>
              <w:bottom w:val="single" w:sz="4" w:space="0" w:color="auto"/>
              <w:right w:val="single" w:sz="4" w:space="0" w:color="auto"/>
            </w:tcBorders>
            <w:shd w:val="clear" w:color="000000" w:fill="00B0F0"/>
            <w:noWrap/>
            <w:vAlign w:val="center"/>
            <w:hideMark/>
          </w:tcPr>
          <w:p w14:paraId="2C28AA1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71" w:type="dxa"/>
            <w:tcBorders>
              <w:top w:val="nil"/>
              <w:left w:val="nil"/>
              <w:bottom w:val="single" w:sz="4" w:space="0" w:color="auto"/>
              <w:right w:val="single" w:sz="4" w:space="0" w:color="auto"/>
            </w:tcBorders>
            <w:shd w:val="clear" w:color="000000" w:fill="00B0F0"/>
            <w:noWrap/>
            <w:vAlign w:val="center"/>
            <w:hideMark/>
          </w:tcPr>
          <w:p w14:paraId="2F123A6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50" w:type="dxa"/>
            <w:tcBorders>
              <w:top w:val="nil"/>
              <w:left w:val="nil"/>
              <w:bottom w:val="single" w:sz="4" w:space="0" w:color="auto"/>
              <w:right w:val="single" w:sz="4" w:space="0" w:color="auto"/>
            </w:tcBorders>
            <w:shd w:val="clear" w:color="000000" w:fill="00B0F0"/>
            <w:noWrap/>
            <w:vAlign w:val="center"/>
            <w:hideMark/>
          </w:tcPr>
          <w:p w14:paraId="6957598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41" w:type="dxa"/>
            <w:tcBorders>
              <w:top w:val="nil"/>
              <w:left w:val="nil"/>
              <w:bottom w:val="single" w:sz="4" w:space="0" w:color="auto"/>
              <w:right w:val="single" w:sz="4" w:space="0" w:color="auto"/>
            </w:tcBorders>
            <w:shd w:val="clear" w:color="000000" w:fill="00B0F0"/>
            <w:noWrap/>
            <w:vAlign w:val="center"/>
            <w:hideMark/>
          </w:tcPr>
          <w:p w14:paraId="5712A79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539" w:type="dxa"/>
            <w:tcBorders>
              <w:top w:val="nil"/>
              <w:left w:val="nil"/>
              <w:bottom w:val="single" w:sz="4" w:space="0" w:color="auto"/>
              <w:right w:val="single" w:sz="4" w:space="0" w:color="auto"/>
            </w:tcBorders>
            <w:shd w:val="clear" w:color="000000" w:fill="00B0F0"/>
            <w:noWrap/>
            <w:vAlign w:val="center"/>
            <w:hideMark/>
          </w:tcPr>
          <w:p w14:paraId="01B56A3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630" w:type="dxa"/>
            <w:tcBorders>
              <w:top w:val="nil"/>
              <w:left w:val="nil"/>
              <w:bottom w:val="single" w:sz="4" w:space="0" w:color="auto"/>
              <w:right w:val="single" w:sz="4" w:space="0" w:color="auto"/>
            </w:tcBorders>
            <w:shd w:val="clear" w:color="000000" w:fill="00B0F0"/>
            <w:noWrap/>
            <w:vAlign w:val="center"/>
            <w:hideMark/>
          </w:tcPr>
          <w:p w14:paraId="27B85F3A"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+480</w:t>
            </w:r>
          </w:p>
        </w:tc>
        <w:tc>
          <w:tcPr>
            <w:tcW w:w="540" w:type="dxa"/>
            <w:tcBorders>
              <w:top w:val="nil"/>
              <w:left w:val="nil"/>
              <w:bottom w:val="single" w:sz="4" w:space="0" w:color="auto"/>
              <w:right w:val="single" w:sz="4" w:space="0" w:color="auto"/>
            </w:tcBorders>
            <w:shd w:val="clear" w:color="000000" w:fill="00B0F0"/>
            <w:noWrap/>
            <w:vAlign w:val="center"/>
            <w:hideMark/>
          </w:tcPr>
          <w:p w14:paraId="672A041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w:t>
            </w:r>
          </w:p>
        </w:tc>
        <w:tc>
          <w:tcPr>
            <w:tcW w:w="630" w:type="dxa"/>
            <w:tcBorders>
              <w:top w:val="nil"/>
              <w:left w:val="nil"/>
              <w:bottom w:val="single" w:sz="4" w:space="0" w:color="auto"/>
              <w:right w:val="single" w:sz="4" w:space="0" w:color="auto"/>
            </w:tcBorders>
            <w:shd w:val="clear" w:color="000000" w:fill="00B0F0"/>
            <w:noWrap/>
            <w:vAlign w:val="center"/>
            <w:hideMark/>
          </w:tcPr>
          <w:p w14:paraId="51EBFD4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+800</w:t>
            </w:r>
          </w:p>
        </w:tc>
        <w:tc>
          <w:tcPr>
            <w:tcW w:w="540" w:type="dxa"/>
            <w:tcBorders>
              <w:top w:val="nil"/>
              <w:left w:val="nil"/>
              <w:bottom w:val="single" w:sz="4" w:space="0" w:color="auto"/>
              <w:right w:val="single" w:sz="4" w:space="0" w:color="auto"/>
            </w:tcBorders>
            <w:shd w:val="clear" w:color="000000" w:fill="00B0F0"/>
            <w:noWrap/>
            <w:vAlign w:val="center"/>
            <w:hideMark/>
          </w:tcPr>
          <w:p w14:paraId="655FC66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5.0</w:t>
            </w:r>
          </w:p>
        </w:tc>
        <w:tc>
          <w:tcPr>
            <w:tcW w:w="1170" w:type="dxa"/>
            <w:tcBorders>
              <w:top w:val="nil"/>
              <w:left w:val="nil"/>
              <w:bottom w:val="single" w:sz="4" w:space="0" w:color="auto"/>
              <w:right w:val="single" w:sz="4" w:space="0" w:color="auto"/>
            </w:tcBorders>
            <w:shd w:val="clear" w:color="000000" w:fill="00B0F0"/>
            <w:noWrap/>
            <w:vAlign w:val="bottom"/>
            <w:hideMark/>
          </w:tcPr>
          <w:p w14:paraId="264C7B0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TDD_C</w:t>
            </w:r>
          </w:p>
        </w:tc>
      </w:tr>
      <w:tr w:rsidR="00EF027D" w:rsidRPr="00704D55" w14:paraId="719E8292" w14:textId="77777777" w:rsidTr="003C5358">
        <w:trPr>
          <w:trHeight w:val="240"/>
          <w:jc w:val="center"/>
        </w:trPr>
        <w:tc>
          <w:tcPr>
            <w:tcW w:w="1170" w:type="dxa"/>
            <w:vMerge w:val="restart"/>
            <w:tcBorders>
              <w:top w:val="nil"/>
              <w:left w:val="single" w:sz="4" w:space="0" w:color="auto"/>
              <w:bottom w:val="single" w:sz="4" w:space="0" w:color="auto"/>
              <w:right w:val="single" w:sz="4" w:space="0" w:color="auto"/>
            </w:tcBorders>
            <w:shd w:val="clear" w:color="auto" w:fill="auto"/>
            <w:vAlign w:val="center"/>
            <w:hideMark/>
          </w:tcPr>
          <w:p w14:paraId="5E42685C" w14:textId="77777777"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ULCA MPR</w:t>
            </w:r>
          </w:p>
          <w:p w14:paraId="0BF83773" w14:textId="77777777"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 xml:space="preserve"> for Non-contULCA:</w:t>
            </w:r>
          </w:p>
          <w:p w14:paraId="1880D3AC" w14:textId="77777777" w:rsidR="00EF027D" w:rsidRPr="00704D55"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 xml:space="preserve"> max distance 2xLCRB1/2</w:t>
            </w:r>
          </w:p>
          <w:p w14:paraId="456DFB40" w14:textId="4C73FB69"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_MPR</w:t>
            </w:r>
          </w:p>
        </w:tc>
        <w:tc>
          <w:tcPr>
            <w:tcW w:w="6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4C9C0B" w14:textId="77777777"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H1</w:t>
            </w:r>
          </w:p>
        </w:tc>
        <w:tc>
          <w:tcPr>
            <w:tcW w:w="1025" w:type="dxa"/>
            <w:tcBorders>
              <w:top w:val="nil"/>
              <w:left w:val="nil"/>
              <w:bottom w:val="single" w:sz="4" w:space="0" w:color="auto"/>
              <w:right w:val="single" w:sz="4" w:space="0" w:color="auto"/>
            </w:tcBorders>
            <w:shd w:val="clear" w:color="auto" w:fill="auto"/>
            <w:noWrap/>
            <w:vAlign w:val="center"/>
            <w:hideMark/>
          </w:tcPr>
          <w:p w14:paraId="410B2B03"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2x100RB_4</w:t>
            </w:r>
          </w:p>
        </w:tc>
        <w:tc>
          <w:tcPr>
            <w:tcW w:w="516" w:type="dxa"/>
            <w:tcBorders>
              <w:top w:val="nil"/>
              <w:left w:val="nil"/>
              <w:bottom w:val="single" w:sz="4" w:space="0" w:color="auto"/>
              <w:right w:val="single" w:sz="4" w:space="0" w:color="auto"/>
            </w:tcBorders>
            <w:shd w:val="clear" w:color="auto" w:fill="auto"/>
            <w:noWrap/>
            <w:vAlign w:val="center"/>
            <w:hideMark/>
          </w:tcPr>
          <w:p w14:paraId="647DE3D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auto"/>
            <w:noWrap/>
            <w:vAlign w:val="center"/>
            <w:hideMark/>
          </w:tcPr>
          <w:p w14:paraId="4C9A691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auto"/>
            <w:noWrap/>
            <w:vAlign w:val="center"/>
            <w:hideMark/>
          </w:tcPr>
          <w:p w14:paraId="5ABED48C"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auto"/>
            <w:noWrap/>
            <w:vAlign w:val="center"/>
            <w:hideMark/>
          </w:tcPr>
          <w:p w14:paraId="65ECF15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71" w:type="dxa"/>
            <w:tcBorders>
              <w:top w:val="nil"/>
              <w:left w:val="nil"/>
              <w:bottom w:val="single" w:sz="4" w:space="0" w:color="auto"/>
              <w:right w:val="single" w:sz="4" w:space="0" w:color="auto"/>
            </w:tcBorders>
            <w:shd w:val="clear" w:color="auto" w:fill="auto"/>
            <w:noWrap/>
            <w:vAlign w:val="center"/>
            <w:hideMark/>
          </w:tcPr>
          <w:p w14:paraId="4DF3D22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50" w:type="dxa"/>
            <w:tcBorders>
              <w:top w:val="nil"/>
              <w:left w:val="nil"/>
              <w:bottom w:val="single" w:sz="4" w:space="0" w:color="auto"/>
              <w:right w:val="single" w:sz="4" w:space="0" w:color="auto"/>
            </w:tcBorders>
            <w:shd w:val="clear" w:color="auto" w:fill="auto"/>
            <w:noWrap/>
            <w:vAlign w:val="center"/>
            <w:hideMark/>
          </w:tcPr>
          <w:p w14:paraId="1DD1EE7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41" w:type="dxa"/>
            <w:tcBorders>
              <w:top w:val="nil"/>
              <w:left w:val="nil"/>
              <w:bottom w:val="single" w:sz="4" w:space="0" w:color="auto"/>
              <w:right w:val="single" w:sz="4" w:space="0" w:color="auto"/>
            </w:tcBorders>
            <w:shd w:val="clear" w:color="auto" w:fill="auto"/>
            <w:noWrap/>
            <w:vAlign w:val="center"/>
            <w:hideMark/>
          </w:tcPr>
          <w:p w14:paraId="19B561C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360</w:t>
            </w:r>
          </w:p>
        </w:tc>
        <w:tc>
          <w:tcPr>
            <w:tcW w:w="539" w:type="dxa"/>
            <w:tcBorders>
              <w:top w:val="nil"/>
              <w:left w:val="nil"/>
              <w:bottom w:val="single" w:sz="4" w:space="0" w:color="auto"/>
              <w:right w:val="single" w:sz="4" w:space="0" w:color="auto"/>
            </w:tcBorders>
            <w:shd w:val="clear" w:color="auto" w:fill="auto"/>
            <w:noWrap/>
            <w:vAlign w:val="center"/>
            <w:hideMark/>
          </w:tcPr>
          <w:p w14:paraId="5E76063C"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2.3</w:t>
            </w:r>
          </w:p>
        </w:tc>
        <w:tc>
          <w:tcPr>
            <w:tcW w:w="630" w:type="dxa"/>
            <w:tcBorders>
              <w:top w:val="nil"/>
              <w:left w:val="nil"/>
              <w:bottom w:val="single" w:sz="4" w:space="0" w:color="auto"/>
              <w:right w:val="single" w:sz="4" w:space="0" w:color="auto"/>
            </w:tcBorders>
            <w:shd w:val="clear" w:color="auto" w:fill="auto"/>
            <w:noWrap/>
            <w:vAlign w:val="center"/>
            <w:hideMark/>
          </w:tcPr>
          <w:p w14:paraId="70DA02F0"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440</w:t>
            </w:r>
          </w:p>
        </w:tc>
        <w:tc>
          <w:tcPr>
            <w:tcW w:w="540" w:type="dxa"/>
            <w:tcBorders>
              <w:top w:val="nil"/>
              <w:left w:val="nil"/>
              <w:bottom w:val="single" w:sz="4" w:space="0" w:color="auto"/>
              <w:right w:val="single" w:sz="4" w:space="0" w:color="auto"/>
            </w:tcBorders>
            <w:shd w:val="clear" w:color="auto" w:fill="auto"/>
            <w:noWrap/>
            <w:vAlign w:val="center"/>
            <w:hideMark/>
          </w:tcPr>
          <w:p w14:paraId="76AF948A"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2.8</w:t>
            </w:r>
          </w:p>
        </w:tc>
        <w:tc>
          <w:tcPr>
            <w:tcW w:w="630" w:type="dxa"/>
            <w:tcBorders>
              <w:top w:val="nil"/>
              <w:left w:val="nil"/>
              <w:bottom w:val="single" w:sz="4" w:space="0" w:color="auto"/>
              <w:right w:val="single" w:sz="4" w:space="0" w:color="auto"/>
            </w:tcBorders>
            <w:shd w:val="clear" w:color="auto" w:fill="auto"/>
            <w:noWrap/>
            <w:vAlign w:val="center"/>
            <w:hideMark/>
          </w:tcPr>
          <w:p w14:paraId="48E26CF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680</w:t>
            </w:r>
          </w:p>
        </w:tc>
        <w:tc>
          <w:tcPr>
            <w:tcW w:w="540" w:type="dxa"/>
            <w:tcBorders>
              <w:top w:val="nil"/>
              <w:left w:val="nil"/>
              <w:bottom w:val="single" w:sz="4" w:space="0" w:color="auto"/>
              <w:right w:val="single" w:sz="4" w:space="0" w:color="auto"/>
            </w:tcBorders>
            <w:shd w:val="clear" w:color="auto" w:fill="auto"/>
            <w:noWrap/>
            <w:vAlign w:val="center"/>
            <w:hideMark/>
          </w:tcPr>
          <w:p w14:paraId="317A284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4.3</w:t>
            </w:r>
          </w:p>
        </w:tc>
        <w:tc>
          <w:tcPr>
            <w:tcW w:w="1170" w:type="dxa"/>
            <w:tcBorders>
              <w:top w:val="nil"/>
              <w:left w:val="nil"/>
              <w:bottom w:val="single" w:sz="4" w:space="0" w:color="auto"/>
              <w:right w:val="single" w:sz="4" w:space="0" w:color="auto"/>
            </w:tcBorders>
            <w:shd w:val="clear" w:color="auto" w:fill="auto"/>
            <w:noWrap/>
            <w:vAlign w:val="bottom"/>
            <w:hideMark/>
          </w:tcPr>
          <w:p w14:paraId="3668E824" w14:textId="1F8EF1ED"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r>
      <w:tr w:rsidR="00EF027D" w:rsidRPr="00704D55" w14:paraId="1358E824" w14:textId="77777777" w:rsidTr="003C535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6903FE8B"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5948FCBA"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60144A6E"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2x012RB_5</w:t>
            </w:r>
          </w:p>
        </w:tc>
        <w:tc>
          <w:tcPr>
            <w:tcW w:w="516" w:type="dxa"/>
            <w:tcBorders>
              <w:top w:val="nil"/>
              <w:left w:val="nil"/>
              <w:bottom w:val="single" w:sz="4" w:space="0" w:color="auto"/>
              <w:right w:val="single" w:sz="4" w:space="0" w:color="auto"/>
            </w:tcBorders>
            <w:shd w:val="clear" w:color="auto" w:fill="auto"/>
            <w:noWrap/>
            <w:vAlign w:val="center"/>
            <w:hideMark/>
          </w:tcPr>
          <w:p w14:paraId="0578362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auto"/>
            <w:noWrap/>
            <w:vAlign w:val="center"/>
            <w:hideMark/>
          </w:tcPr>
          <w:p w14:paraId="6FC247F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auto"/>
            <w:noWrap/>
            <w:vAlign w:val="center"/>
            <w:hideMark/>
          </w:tcPr>
          <w:p w14:paraId="0B509C3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auto"/>
            <w:noWrap/>
            <w:vAlign w:val="center"/>
            <w:hideMark/>
          </w:tcPr>
          <w:p w14:paraId="2E86963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71" w:type="dxa"/>
            <w:tcBorders>
              <w:top w:val="nil"/>
              <w:left w:val="nil"/>
              <w:bottom w:val="single" w:sz="4" w:space="0" w:color="auto"/>
              <w:right w:val="single" w:sz="4" w:space="0" w:color="auto"/>
            </w:tcBorders>
            <w:shd w:val="clear" w:color="auto" w:fill="auto"/>
            <w:noWrap/>
            <w:vAlign w:val="center"/>
            <w:hideMark/>
          </w:tcPr>
          <w:p w14:paraId="7C3DB5C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50" w:type="dxa"/>
            <w:tcBorders>
              <w:top w:val="nil"/>
              <w:left w:val="nil"/>
              <w:bottom w:val="single" w:sz="4" w:space="0" w:color="auto"/>
              <w:right w:val="single" w:sz="4" w:space="0" w:color="auto"/>
            </w:tcBorders>
            <w:shd w:val="clear" w:color="auto" w:fill="auto"/>
            <w:noWrap/>
            <w:vAlign w:val="center"/>
            <w:hideMark/>
          </w:tcPr>
          <w:p w14:paraId="6674D3B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41" w:type="dxa"/>
            <w:tcBorders>
              <w:top w:val="nil"/>
              <w:left w:val="nil"/>
              <w:bottom w:val="single" w:sz="4" w:space="0" w:color="auto"/>
              <w:right w:val="single" w:sz="4" w:space="0" w:color="auto"/>
            </w:tcBorders>
            <w:shd w:val="clear" w:color="auto" w:fill="auto"/>
            <w:noWrap/>
            <w:vAlign w:val="center"/>
            <w:hideMark/>
          </w:tcPr>
          <w:p w14:paraId="2AEBD82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480</w:t>
            </w:r>
          </w:p>
        </w:tc>
        <w:tc>
          <w:tcPr>
            <w:tcW w:w="539" w:type="dxa"/>
            <w:tcBorders>
              <w:top w:val="nil"/>
              <w:left w:val="nil"/>
              <w:bottom w:val="single" w:sz="4" w:space="0" w:color="auto"/>
              <w:right w:val="single" w:sz="4" w:space="0" w:color="auto"/>
            </w:tcBorders>
            <w:shd w:val="clear" w:color="auto" w:fill="auto"/>
            <w:noWrap/>
            <w:vAlign w:val="center"/>
            <w:hideMark/>
          </w:tcPr>
          <w:p w14:paraId="34CFDF2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w:t>
            </w:r>
          </w:p>
        </w:tc>
        <w:tc>
          <w:tcPr>
            <w:tcW w:w="630" w:type="dxa"/>
            <w:tcBorders>
              <w:top w:val="nil"/>
              <w:left w:val="nil"/>
              <w:bottom w:val="single" w:sz="4" w:space="0" w:color="auto"/>
              <w:right w:val="single" w:sz="4" w:space="0" w:color="auto"/>
            </w:tcBorders>
            <w:shd w:val="clear" w:color="auto" w:fill="auto"/>
            <w:noWrap/>
            <w:vAlign w:val="center"/>
            <w:hideMark/>
          </w:tcPr>
          <w:p w14:paraId="25B0C19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800</w:t>
            </w:r>
          </w:p>
        </w:tc>
        <w:tc>
          <w:tcPr>
            <w:tcW w:w="540" w:type="dxa"/>
            <w:tcBorders>
              <w:top w:val="nil"/>
              <w:left w:val="nil"/>
              <w:bottom w:val="single" w:sz="4" w:space="0" w:color="auto"/>
              <w:right w:val="single" w:sz="4" w:space="0" w:color="auto"/>
            </w:tcBorders>
            <w:shd w:val="clear" w:color="auto" w:fill="auto"/>
            <w:noWrap/>
            <w:vAlign w:val="center"/>
            <w:hideMark/>
          </w:tcPr>
          <w:p w14:paraId="08FFC9A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5.0</w:t>
            </w:r>
          </w:p>
        </w:tc>
        <w:tc>
          <w:tcPr>
            <w:tcW w:w="630" w:type="dxa"/>
            <w:tcBorders>
              <w:top w:val="nil"/>
              <w:left w:val="nil"/>
              <w:bottom w:val="single" w:sz="4" w:space="0" w:color="auto"/>
              <w:right w:val="single" w:sz="4" w:space="0" w:color="auto"/>
            </w:tcBorders>
            <w:shd w:val="clear" w:color="auto" w:fill="auto"/>
            <w:noWrap/>
            <w:vAlign w:val="center"/>
            <w:hideMark/>
          </w:tcPr>
          <w:p w14:paraId="57E8A31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1120</w:t>
            </w:r>
          </w:p>
        </w:tc>
        <w:tc>
          <w:tcPr>
            <w:tcW w:w="540" w:type="dxa"/>
            <w:tcBorders>
              <w:top w:val="nil"/>
              <w:left w:val="nil"/>
              <w:bottom w:val="single" w:sz="4" w:space="0" w:color="auto"/>
              <w:right w:val="single" w:sz="4" w:space="0" w:color="auto"/>
            </w:tcBorders>
            <w:shd w:val="clear" w:color="auto" w:fill="auto"/>
            <w:noWrap/>
            <w:vAlign w:val="center"/>
            <w:hideMark/>
          </w:tcPr>
          <w:p w14:paraId="12C4F6B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7.0</w:t>
            </w:r>
          </w:p>
        </w:tc>
        <w:tc>
          <w:tcPr>
            <w:tcW w:w="1170" w:type="dxa"/>
            <w:tcBorders>
              <w:top w:val="nil"/>
              <w:left w:val="nil"/>
              <w:bottom w:val="single" w:sz="4" w:space="0" w:color="auto"/>
              <w:right w:val="single" w:sz="4" w:space="0" w:color="auto"/>
            </w:tcBorders>
            <w:shd w:val="clear" w:color="auto" w:fill="auto"/>
            <w:noWrap/>
            <w:vAlign w:val="bottom"/>
            <w:hideMark/>
          </w:tcPr>
          <w:p w14:paraId="29393953" w14:textId="49E3E47E"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r>
      <w:tr w:rsidR="00CF4EDE" w:rsidRPr="00704D55" w14:paraId="705E237E" w14:textId="77777777" w:rsidTr="00925E3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54CE6F64"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0E941FA8"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638F18B7"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2x001RB_8</w:t>
            </w:r>
          </w:p>
        </w:tc>
        <w:tc>
          <w:tcPr>
            <w:tcW w:w="516" w:type="dxa"/>
            <w:tcBorders>
              <w:top w:val="nil"/>
              <w:left w:val="nil"/>
              <w:bottom w:val="single" w:sz="4" w:space="0" w:color="auto"/>
              <w:right w:val="single" w:sz="4" w:space="0" w:color="auto"/>
            </w:tcBorders>
            <w:shd w:val="clear" w:color="auto" w:fill="0070C0"/>
            <w:noWrap/>
            <w:vAlign w:val="center"/>
            <w:hideMark/>
          </w:tcPr>
          <w:p w14:paraId="03B4168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0070C0"/>
            <w:noWrap/>
            <w:vAlign w:val="center"/>
            <w:hideMark/>
          </w:tcPr>
          <w:p w14:paraId="2ED0D7B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0070C0"/>
            <w:noWrap/>
            <w:vAlign w:val="center"/>
            <w:hideMark/>
          </w:tcPr>
          <w:p w14:paraId="1CEF5FF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0070C0"/>
            <w:noWrap/>
            <w:vAlign w:val="center"/>
            <w:hideMark/>
          </w:tcPr>
          <w:p w14:paraId="264074B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71" w:type="dxa"/>
            <w:tcBorders>
              <w:top w:val="nil"/>
              <w:left w:val="nil"/>
              <w:bottom w:val="single" w:sz="4" w:space="0" w:color="auto"/>
              <w:right w:val="single" w:sz="4" w:space="0" w:color="auto"/>
            </w:tcBorders>
            <w:shd w:val="clear" w:color="auto" w:fill="0070C0"/>
            <w:noWrap/>
            <w:vAlign w:val="center"/>
            <w:hideMark/>
          </w:tcPr>
          <w:p w14:paraId="11C9A9D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50" w:type="dxa"/>
            <w:tcBorders>
              <w:top w:val="nil"/>
              <w:left w:val="nil"/>
              <w:bottom w:val="single" w:sz="4" w:space="0" w:color="auto"/>
              <w:right w:val="single" w:sz="4" w:space="0" w:color="auto"/>
            </w:tcBorders>
            <w:shd w:val="clear" w:color="auto" w:fill="0070C0"/>
            <w:noWrap/>
            <w:vAlign w:val="center"/>
            <w:hideMark/>
          </w:tcPr>
          <w:p w14:paraId="008509B4"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41" w:type="dxa"/>
            <w:tcBorders>
              <w:top w:val="nil"/>
              <w:left w:val="nil"/>
              <w:bottom w:val="single" w:sz="4" w:space="0" w:color="auto"/>
              <w:right w:val="single" w:sz="4" w:space="0" w:color="auto"/>
            </w:tcBorders>
            <w:shd w:val="clear" w:color="auto" w:fill="0070C0"/>
            <w:noWrap/>
            <w:vAlign w:val="center"/>
            <w:hideMark/>
          </w:tcPr>
          <w:p w14:paraId="0AD1F02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480</w:t>
            </w:r>
          </w:p>
        </w:tc>
        <w:tc>
          <w:tcPr>
            <w:tcW w:w="539" w:type="dxa"/>
            <w:tcBorders>
              <w:top w:val="nil"/>
              <w:left w:val="nil"/>
              <w:bottom w:val="single" w:sz="4" w:space="0" w:color="auto"/>
              <w:right w:val="single" w:sz="4" w:space="0" w:color="auto"/>
            </w:tcBorders>
            <w:shd w:val="clear" w:color="auto" w:fill="0070C0"/>
            <w:noWrap/>
            <w:vAlign w:val="center"/>
            <w:hideMark/>
          </w:tcPr>
          <w:p w14:paraId="32F6864C"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w:t>
            </w:r>
          </w:p>
        </w:tc>
        <w:tc>
          <w:tcPr>
            <w:tcW w:w="630" w:type="dxa"/>
            <w:tcBorders>
              <w:top w:val="nil"/>
              <w:left w:val="nil"/>
              <w:bottom w:val="single" w:sz="4" w:space="0" w:color="auto"/>
              <w:right w:val="single" w:sz="4" w:space="0" w:color="auto"/>
            </w:tcBorders>
            <w:shd w:val="clear" w:color="auto" w:fill="0070C0"/>
            <w:noWrap/>
            <w:vAlign w:val="center"/>
            <w:hideMark/>
          </w:tcPr>
          <w:p w14:paraId="368AE23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640</w:t>
            </w:r>
          </w:p>
        </w:tc>
        <w:tc>
          <w:tcPr>
            <w:tcW w:w="540" w:type="dxa"/>
            <w:tcBorders>
              <w:top w:val="nil"/>
              <w:left w:val="nil"/>
              <w:bottom w:val="single" w:sz="4" w:space="0" w:color="auto"/>
              <w:right w:val="single" w:sz="4" w:space="0" w:color="auto"/>
            </w:tcBorders>
            <w:shd w:val="clear" w:color="auto" w:fill="0070C0"/>
            <w:noWrap/>
            <w:vAlign w:val="center"/>
            <w:hideMark/>
          </w:tcPr>
          <w:p w14:paraId="09146C6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4.0</w:t>
            </w:r>
          </w:p>
        </w:tc>
        <w:tc>
          <w:tcPr>
            <w:tcW w:w="630" w:type="dxa"/>
            <w:tcBorders>
              <w:top w:val="nil"/>
              <w:left w:val="nil"/>
              <w:bottom w:val="single" w:sz="4" w:space="0" w:color="auto"/>
              <w:right w:val="single" w:sz="4" w:space="0" w:color="auto"/>
            </w:tcBorders>
            <w:shd w:val="clear" w:color="auto" w:fill="0070C0"/>
            <w:noWrap/>
            <w:vAlign w:val="center"/>
            <w:hideMark/>
          </w:tcPr>
          <w:p w14:paraId="6F903BB4"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800</w:t>
            </w:r>
          </w:p>
        </w:tc>
        <w:tc>
          <w:tcPr>
            <w:tcW w:w="540" w:type="dxa"/>
            <w:tcBorders>
              <w:top w:val="nil"/>
              <w:left w:val="nil"/>
              <w:bottom w:val="single" w:sz="4" w:space="0" w:color="auto"/>
              <w:right w:val="single" w:sz="4" w:space="0" w:color="auto"/>
            </w:tcBorders>
            <w:shd w:val="clear" w:color="auto" w:fill="0070C0"/>
            <w:noWrap/>
            <w:vAlign w:val="center"/>
            <w:hideMark/>
          </w:tcPr>
          <w:p w14:paraId="0B4F6BBE"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5.0</w:t>
            </w:r>
          </w:p>
        </w:tc>
        <w:tc>
          <w:tcPr>
            <w:tcW w:w="1170" w:type="dxa"/>
            <w:tcBorders>
              <w:top w:val="nil"/>
              <w:left w:val="nil"/>
              <w:bottom w:val="single" w:sz="4" w:space="0" w:color="auto"/>
              <w:right w:val="single" w:sz="4" w:space="0" w:color="auto"/>
            </w:tcBorders>
            <w:shd w:val="clear" w:color="auto" w:fill="0070C0"/>
            <w:noWrap/>
            <w:vAlign w:val="bottom"/>
            <w:hideMark/>
          </w:tcPr>
          <w:p w14:paraId="00E51B8A"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TDD_NC</w:t>
            </w:r>
          </w:p>
        </w:tc>
      </w:tr>
      <w:tr w:rsidR="00EF027D" w:rsidRPr="00704D55" w14:paraId="0EB8E099" w14:textId="77777777" w:rsidTr="003C535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668498FA"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7ED8C1C" w14:textId="77777777" w:rsidR="00EF027D" w:rsidRPr="00EF027D" w:rsidRDefault="00EF027D" w:rsidP="00EF027D">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H1+H2</w:t>
            </w:r>
          </w:p>
        </w:tc>
        <w:tc>
          <w:tcPr>
            <w:tcW w:w="1025" w:type="dxa"/>
            <w:tcBorders>
              <w:top w:val="nil"/>
              <w:left w:val="nil"/>
              <w:bottom w:val="single" w:sz="4" w:space="0" w:color="auto"/>
              <w:right w:val="single" w:sz="4" w:space="0" w:color="auto"/>
            </w:tcBorders>
            <w:shd w:val="clear" w:color="auto" w:fill="auto"/>
            <w:noWrap/>
            <w:vAlign w:val="center"/>
            <w:hideMark/>
          </w:tcPr>
          <w:p w14:paraId="3F24C71E"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2x100RB_4</w:t>
            </w:r>
          </w:p>
        </w:tc>
        <w:tc>
          <w:tcPr>
            <w:tcW w:w="516" w:type="dxa"/>
            <w:tcBorders>
              <w:top w:val="nil"/>
              <w:left w:val="nil"/>
              <w:bottom w:val="single" w:sz="4" w:space="0" w:color="auto"/>
              <w:right w:val="single" w:sz="4" w:space="0" w:color="auto"/>
            </w:tcBorders>
            <w:shd w:val="clear" w:color="auto" w:fill="auto"/>
            <w:noWrap/>
            <w:vAlign w:val="center"/>
            <w:hideMark/>
          </w:tcPr>
          <w:p w14:paraId="00F7A58A"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auto"/>
            <w:noWrap/>
            <w:vAlign w:val="center"/>
            <w:hideMark/>
          </w:tcPr>
          <w:p w14:paraId="3796583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auto"/>
            <w:noWrap/>
            <w:vAlign w:val="center"/>
            <w:hideMark/>
          </w:tcPr>
          <w:p w14:paraId="1DC392A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19" w:type="dxa"/>
            <w:tcBorders>
              <w:top w:val="nil"/>
              <w:left w:val="nil"/>
              <w:bottom w:val="single" w:sz="4" w:space="0" w:color="auto"/>
              <w:right w:val="single" w:sz="4" w:space="0" w:color="auto"/>
            </w:tcBorders>
            <w:shd w:val="clear" w:color="auto" w:fill="auto"/>
            <w:noWrap/>
            <w:vAlign w:val="center"/>
            <w:hideMark/>
          </w:tcPr>
          <w:p w14:paraId="72DDA69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71" w:type="dxa"/>
            <w:tcBorders>
              <w:top w:val="nil"/>
              <w:left w:val="nil"/>
              <w:bottom w:val="single" w:sz="4" w:space="0" w:color="auto"/>
              <w:right w:val="single" w:sz="4" w:space="0" w:color="auto"/>
            </w:tcBorders>
            <w:shd w:val="clear" w:color="auto" w:fill="auto"/>
            <w:noWrap/>
            <w:vAlign w:val="center"/>
            <w:hideMark/>
          </w:tcPr>
          <w:p w14:paraId="3C4E041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50" w:type="dxa"/>
            <w:tcBorders>
              <w:top w:val="nil"/>
              <w:left w:val="nil"/>
              <w:bottom w:val="single" w:sz="4" w:space="0" w:color="auto"/>
              <w:right w:val="single" w:sz="4" w:space="0" w:color="auto"/>
            </w:tcBorders>
            <w:shd w:val="clear" w:color="auto" w:fill="auto"/>
            <w:noWrap/>
            <w:vAlign w:val="center"/>
            <w:hideMark/>
          </w:tcPr>
          <w:p w14:paraId="17FEE60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41" w:type="dxa"/>
            <w:tcBorders>
              <w:top w:val="nil"/>
              <w:left w:val="nil"/>
              <w:bottom w:val="single" w:sz="4" w:space="0" w:color="auto"/>
              <w:right w:val="single" w:sz="4" w:space="0" w:color="auto"/>
            </w:tcBorders>
            <w:shd w:val="clear" w:color="auto" w:fill="auto"/>
            <w:noWrap/>
            <w:vAlign w:val="center"/>
            <w:hideMark/>
          </w:tcPr>
          <w:p w14:paraId="28CA886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539" w:type="dxa"/>
            <w:tcBorders>
              <w:top w:val="nil"/>
              <w:left w:val="nil"/>
              <w:bottom w:val="single" w:sz="4" w:space="0" w:color="auto"/>
              <w:right w:val="single" w:sz="4" w:space="0" w:color="auto"/>
            </w:tcBorders>
            <w:shd w:val="clear" w:color="auto" w:fill="auto"/>
            <w:noWrap/>
            <w:vAlign w:val="center"/>
            <w:hideMark/>
          </w:tcPr>
          <w:p w14:paraId="7CE0DC84"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630" w:type="dxa"/>
            <w:tcBorders>
              <w:top w:val="nil"/>
              <w:left w:val="nil"/>
              <w:bottom w:val="single" w:sz="4" w:space="0" w:color="auto"/>
              <w:right w:val="single" w:sz="4" w:space="0" w:color="auto"/>
            </w:tcBorders>
            <w:shd w:val="clear" w:color="auto" w:fill="auto"/>
            <w:noWrap/>
            <w:vAlign w:val="center"/>
            <w:hideMark/>
          </w:tcPr>
          <w:p w14:paraId="5978BE1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540" w:type="dxa"/>
            <w:tcBorders>
              <w:top w:val="nil"/>
              <w:left w:val="nil"/>
              <w:bottom w:val="single" w:sz="4" w:space="0" w:color="auto"/>
              <w:right w:val="single" w:sz="4" w:space="0" w:color="auto"/>
            </w:tcBorders>
            <w:shd w:val="clear" w:color="auto" w:fill="auto"/>
            <w:noWrap/>
            <w:vAlign w:val="center"/>
            <w:hideMark/>
          </w:tcPr>
          <w:p w14:paraId="08228302"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630" w:type="dxa"/>
            <w:tcBorders>
              <w:top w:val="nil"/>
              <w:left w:val="nil"/>
              <w:bottom w:val="single" w:sz="4" w:space="0" w:color="auto"/>
              <w:right w:val="single" w:sz="4" w:space="0" w:color="auto"/>
            </w:tcBorders>
            <w:shd w:val="clear" w:color="auto" w:fill="auto"/>
            <w:noWrap/>
            <w:vAlign w:val="center"/>
            <w:hideMark/>
          </w:tcPr>
          <w:p w14:paraId="2F088BB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+320</w:t>
            </w:r>
          </w:p>
        </w:tc>
        <w:tc>
          <w:tcPr>
            <w:tcW w:w="540" w:type="dxa"/>
            <w:tcBorders>
              <w:top w:val="nil"/>
              <w:left w:val="nil"/>
              <w:bottom w:val="single" w:sz="4" w:space="0" w:color="auto"/>
              <w:right w:val="single" w:sz="4" w:space="0" w:color="auto"/>
            </w:tcBorders>
            <w:shd w:val="clear" w:color="auto" w:fill="auto"/>
            <w:noWrap/>
            <w:vAlign w:val="center"/>
            <w:hideMark/>
          </w:tcPr>
          <w:p w14:paraId="75E5AB5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2.0</w:t>
            </w:r>
          </w:p>
        </w:tc>
        <w:tc>
          <w:tcPr>
            <w:tcW w:w="1170" w:type="dxa"/>
            <w:tcBorders>
              <w:top w:val="nil"/>
              <w:left w:val="nil"/>
              <w:bottom w:val="single" w:sz="4" w:space="0" w:color="auto"/>
              <w:right w:val="single" w:sz="4" w:space="0" w:color="auto"/>
            </w:tcBorders>
            <w:shd w:val="clear" w:color="auto" w:fill="auto"/>
            <w:noWrap/>
            <w:vAlign w:val="bottom"/>
            <w:hideMark/>
          </w:tcPr>
          <w:p w14:paraId="06EB5F6F" w14:textId="46C195FB"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r>
      <w:tr w:rsidR="00EF027D" w:rsidRPr="00704D55" w14:paraId="240D4F72" w14:textId="77777777" w:rsidTr="003C535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658CF4B1"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6B942375"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2D2134B1"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2x012RB_5</w:t>
            </w:r>
          </w:p>
        </w:tc>
        <w:tc>
          <w:tcPr>
            <w:tcW w:w="516" w:type="dxa"/>
            <w:tcBorders>
              <w:top w:val="nil"/>
              <w:left w:val="nil"/>
              <w:bottom w:val="single" w:sz="4" w:space="0" w:color="auto"/>
              <w:right w:val="single" w:sz="4" w:space="0" w:color="auto"/>
            </w:tcBorders>
            <w:shd w:val="clear" w:color="auto" w:fill="auto"/>
            <w:noWrap/>
            <w:vAlign w:val="center"/>
            <w:hideMark/>
          </w:tcPr>
          <w:p w14:paraId="6DEF476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auto"/>
            <w:noWrap/>
            <w:vAlign w:val="center"/>
            <w:hideMark/>
          </w:tcPr>
          <w:p w14:paraId="0F946510"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auto"/>
            <w:noWrap/>
            <w:vAlign w:val="center"/>
            <w:hideMark/>
          </w:tcPr>
          <w:p w14:paraId="4AF5D47A"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19" w:type="dxa"/>
            <w:tcBorders>
              <w:top w:val="nil"/>
              <w:left w:val="nil"/>
              <w:bottom w:val="single" w:sz="4" w:space="0" w:color="auto"/>
              <w:right w:val="single" w:sz="4" w:space="0" w:color="auto"/>
            </w:tcBorders>
            <w:shd w:val="clear" w:color="auto" w:fill="auto"/>
            <w:noWrap/>
            <w:vAlign w:val="center"/>
            <w:hideMark/>
          </w:tcPr>
          <w:p w14:paraId="53E538F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71" w:type="dxa"/>
            <w:tcBorders>
              <w:top w:val="nil"/>
              <w:left w:val="nil"/>
              <w:bottom w:val="single" w:sz="4" w:space="0" w:color="auto"/>
              <w:right w:val="single" w:sz="4" w:space="0" w:color="auto"/>
            </w:tcBorders>
            <w:shd w:val="clear" w:color="auto" w:fill="auto"/>
            <w:noWrap/>
            <w:vAlign w:val="center"/>
            <w:hideMark/>
          </w:tcPr>
          <w:p w14:paraId="1BC7441C"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50" w:type="dxa"/>
            <w:tcBorders>
              <w:top w:val="nil"/>
              <w:left w:val="nil"/>
              <w:bottom w:val="single" w:sz="4" w:space="0" w:color="auto"/>
              <w:right w:val="single" w:sz="4" w:space="0" w:color="auto"/>
            </w:tcBorders>
            <w:shd w:val="clear" w:color="auto" w:fill="auto"/>
            <w:noWrap/>
            <w:vAlign w:val="center"/>
            <w:hideMark/>
          </w:tcPr>
          <w:p w14:paraId="468C9A9F"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41" w:type="dxa"/>
            <w:tcBorders>
              <w:top w:val="nil"/>
              <w:left w:val="nil"/>
              <w:bottom w:val="single" w:sz="4" w:space="0" w:color="auto"/>
              <w:right w:val="single" w:sz="4" w:space="0" w:color="auto"/>
            </w:tcBorders>
            <w:shd w:val="clear" w:color="auto" w:fill="auto"/>
            <w:noWrap/>
            <w:vAlign w:val="center"/>
            <w:hideMark/>
          </w:tcPr>
          <w:p w14:paraId="1B14A54C"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539" w:type="dxa"/>
            <w:tcBorders>
              <w:top w:val="nil"/>
              <w:left w:val="nil"/>
              <w:bottom w:val="single" w:sz="4" w:space="0" w:color="auto"/>
              <w:right w:val="single" w:sz="4" w:space="0" w:color="auto"/>
            </w:tcBorders>
            <w:shd w:val="clear" w:color="auto" w:fill="auto"/>
            <w:noWrap/>
            <w:vAlign w:val="center"/>
            <w:hideMark/>
          </w:tcPr>
          <w:p w14:paraId="02161EC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630" w:type="dxa"/>
            <w:tcBorders>
              <w:top w:val="nil"/>
              <w:left w:val="nil"/>
              <w:bottom w:val="single" w:sz="4" w:space="0" w:color="auto"/>
              <w:right w:val="single" w:sz="4" w:space="0" w:color="auto"/>
            </w:tcBorders>
            <w:shd w:val="clear" w:color="auto" w:fill="auto"/>
            <w:noWrap/>
            <w:vAlign w:val="center"/>
            <w:hideMark/>
          </w:tcPr>
          <w:p w14:paraId="25A7FE7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540" w:type="dxa"/>
            <w:tcBorders>
              <w:top w:val="nil"/>
              <w:left w:val="nil"/>
              <w:bottom w:val="single" w:sz="4" w:space="0" w:color="auto"/>
              <w:right w:val="single" w:sz="4" w:space="0" w:color="auto"/>
            </w:tcBorders>
            <w:shd w:val="clear" w:color="auto" w:fill="auto"/>
            <w:noWrap/>
            <w:vAlign w:val="center"/>
            <w:hideMark/>
          </w:tcPr>
          <w:p w14:paraId="38DA790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630" w:type="dxa"/>
            <w:tcBorders>
              <w:top w:val="nil"/>
              <w:left w:val="nil"/>
              <w:bottom w:val="single" w:sz="4" w:space="0" w:color="auto"/>
              <w:right w:val="single" w:sz="4" w:space="0" w:color="auto"/>
            </w:tcBorders>
            <w:shd w:val="clear" w:color="auto" w:fill="auto"/>
            <w:noWrap/>
            <w:vAlign w:val="center"/>
            <w:hideMark/>
          </w:tcPr>
          <w:p w14:paraId="3061987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+480</w:t>
            </w:r>
          </w:p>
        </w:tc>
        <w:tc>
          <w:tcPr>
            <w:tcW w:w="540" w:type="dxa"/>
            <w:tcBorders>
              <w:top w:val="nil"/>
              <w:left w:val="nil"/>
              <w:bottom w:val="single" w:sz="4" w:space="0" w:color="auto"/>
              <w:right w:val="single" w:sz="4" w:space="0" w:color="auto"/>
            </w:tcBorders>
            <w:shd w:val="clear" w:color="auto" w:fill="auto"/>
            <w:noWrap/>
            <w:vAlign w:val="center"/>
            <w:hideMark/>
          </w:tcPr>
          <w:p w14:paraId="2B2323C3"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w:t>
            </w:r>
          </w:p>
        </w:tc>
        <w:tc>
          <w:tcPr>
            <w:tcW w:w="1170" w:type="dxa"/>
            <w:tcBorders>
              <w:top w:val="nil"/>
              <w:left w:val="nil"/>
              <w:bottom w:val="single" w:sz="4" w:space="0" w:color="auto"/>
              <w:right w:val="single" w:sz="4" w:space="0" w:color="auto"/>
            </w:tcBorders>
            <w:shd w:val="clear" w:color="auto" w:fill="auto"/>
            <w:noWrap/>
            <w:vAlign w:val="bottom"/>
            <w:hideMark/>
          </w:tcPr>
          <w:p w14:paraId="7E1FC674" w14:textId="0BA3A0B8"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p>
        </w:tc>
      </w:tr>
      <w:tr w:rsidR="00CF4EDE" w:rsidRPr="00704D55" w14:paraId="66FEA903" w14:textId="77777777" w:rsidTr="00925E38">
        <w:trPr>
          <w:trHeight w:val="240"/>
          <w:jc w:val="center"/>
        </w:trPr>
        <w:tc>
          <w:tcPr>
            <w:tcW w:w="1170" w:type="dxa"/>
            <w:vMerge/>
            <w:tcBorders>
              <w:top w:val="nil"/>
              <w:left w:val="single" w:sz="4" w:space="0" w:color="auto"/>
              <w:bottom w:val="single" w:sz="4" w:space="0" w:color="auto"/>
              <w:right w:val="single" w:sz="4" w:space="0" w:color="auto"/>
            </w:tcBorders>
            <w:vAlign w:val="center"/>
            <w:hideMark/>
          </w:tcPr>
          <w:p w14:paraId="2DAD9345"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658" w:type="dxa"/>
            <w:vMerge/>
            <w:tcBorders>
              <w:top w:val="nil"/>
              <w:left w:val="single" w:sz="4" w:space="0" w:color="auto"/>
              <w:bottom w:val="single" w:sz="4" w:space="0" w:color="auto"/>
              <w:right w:val="single" w:sz="4" w:space="0" w:color="auto"/>
            </w:tcBorders>
            <w:vAlign w:val="center"/>
            <w:hideMark/>
          </w:tcPr>
          <w:p w14:paraId="76F78326"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p>
        </w:tc>
        <w:tc>
          <w:tcPr>
            <w:tcW w:w="1025" w:type="dxa"/>
            <w:tcBorders>
              <w:top w:val="nil"/>
              <w:left w:val="nil"/>
              <w:bottom w:val="single" w:sz="4" w:space="0" w:color="auto"/>
              <w:right w:val="single" w:sz="4" w:space="0" w:color="auto"/>
            </w:tcBorders>
            <w:shd w:val="clear" w:color="auto" w:fill="auto"/>
            <w:noWrap/>
            <w:vAlign w:val="center"/>
            <w:hideMark/>
          </w:tcPr>
          <w:p w14:paraId="106F34C8" w14:textId="77777777" w:rsidR="00EF027D" w:rsidRPr="00EF027D" w:rsidRDefault="00EF027D" w:rsidP="00EF027D">
            <w:pPr>
              <w:overflowPunct/>
              <w:autoSpaceDE/>
              <w:autoSpaceDN/>
              <w:adjustRightInd/>
              <w:spacing w:after="0"/>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2x001RB_8</w:t>
            </w:r>
          </w:p>
        </w:tc>
        <w:tc>
          <w:tcPr>
            <w:tcW w:w="516" w:type="dxa"/>
            <w:tcBorders>
              <w:top w:val="nil"/>
              <w:left w:val="nil"/>
              <w:bottom w:val="single" w:sz="4" w:space="0" w:color="auto"/>
              <w:right w:val="single" w:sz="4" w:space="0" w:color="auto"/>
            </w:tcBorders>
            <w:shd w:val="clear" w:color="auto" w:fill="0070C0"/>
            <w:noWrap/>
            <w:vAlign w:val="center"/>
            <w:hideMark/>
          </w:tcPr>
          <w:p w14:paraId="1548866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160</w:t>
            </w:r>
          </w:p>
        </w:tc>
        <w:tc>
          <w:tcPr>
            <w:tcW w:w="419" w:type="dxa"/>
            <w:tcBorders>
              <w:top w:val="nil"/>
              <w:left w:val="nil"/>
              <w:bottom w:val="single" w:sz="4" w:space="0" w:color="auto"/>
              <w:right w:val="single" w:sz="4" w:space="0" w:color="auto"/>
            </w:tcBorders>
            <w:shd w:val="clear" w:color="auto" w:fill="0070C0"/>
            <w:noWrap/>
            <w:vAlign w:val="center"/>
            <w:hideMark/>
          </w:tcPr>
          <w:p w14:paraId="1A588AD7"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1.0</w:t>
            </w:r>
          </w:p>
        </w:tc>
        <w:tc>
          <w:tcPr>
            <w:tcW w:w="532" w:type="dxa"/>
            <w:tcBorders>
              <w:top w:val="nil"/>
              <w:left w:val="nil"/>
              <w:bottom w:val="single" w:sz="4" w:space="0" w:color="auto"/>
              <w:right w:val="single" w:sz="4" w:space="0" w:color="auto"/>
            </w:tcBorders>
            <w:shd w:val="clear" w:color="auto" w:fill="0070C0"/>
            <w:noWrap/>
            <w:vAlign w:val="center"/>
            <w:hideMark/>
          </w:tcPr>
          <w:p w14:paraId="51D30BC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19" w:type="dxa"/>
            <w:tcBorders>
              <w:top w:val="nil"/>
              <w:left w:val="nil"/>
              <w:bottom w:val="single" w:sz="4" w:space="0" w:color="auto"/>
              <w:right w:val="single" w:sz="4" w:space="0" w:color="auto"/>
            </w:tcBorders>
            <w:shd w:val="clear" w:color="auto" w:fill="0070C0"/>
            <w:noWrap/>
            <w:vAlign w:val="center"/>
            <w:hideMark/>
          </w:tcPr>
          <w:p w14:paraId="2877E1E8"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71" w:type="dxa"/>
            <w:tcBorders>
              <w:top w:val="nil"/>
              <w:left w:val="nil"/>
              <w:bottom w:val="single" w:sz="4" w:space="0" w:color="auto"/>
              <w:right w:val="single" w:sz="4" w:space="0" w:color="auto"/>
            </w:tcBorders>
            <w:shd w:val="clear" w:color="auto" w:fill="0070C0"/>
            <w:noWrap/>
            <w:vAlign w:val="center"/>
            <w:hideMark/>
          </w:tcPr>
          <w:p w14:paraId="1A224A7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450" w:type="dxa"/>
            <w:tcBorders>
              <w:top w:val="nil"/>
              <w:left w:val="nil"/>
              <w:bottom w:val="single" w:sz="4" w:space="0" w:color="auto"/>
              <w:right w:val="single" w:sz="4" w:space="0" w:color="auto"/>
            </w:tcBorders>
            <w:shd w:val="clear" w:color="auto" w:fill="0070C0"/>
            <w:noWrap/>
            <w:vAlign w:val="center"/>
            <w:hideMark/>
          </w:tcPr>
          <w:p w14:paraId="309062A5"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541" w:type="dxa"/>
            <w:tcBorders>
              <w:top w:val="nil"/>
              <w:left w:val="nil"/>
              <w:bottom w:val="single" w:sz="4" w:space="0" w:color="auto"/>
              <w:right w:val="single" w:sz="4" w:space="0" w:color="auto"/>
            </w:tcBorders>
            <w:shd w:val="clear" w:color="auto" w:fill="0070C0"/>
            <w:noWrap/>
            <w:vAlign w:val="center"/>
            <w:hideMark/>
          </w:tcPr>
          <w:p w14:paraId="2E25277D"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539" w:type="dxa"/>
            <w:tcBorders>
              <w:top w:val="nil"/>
              <w:left w:val="nil"/>
              <w:bottom w:val="single" w:sz="4" w:space="0" w:color="auto"/>
              <w:right w:val="single" w:sz="4" w:space="0" w:color="auto"/>
            </w:tcBorders>
            <w:shd w:val="clear" w:color="auto" w:fill="0070C0"/>
            <w:noWrap/>
            <w:vAlign w:val="center"/>
            <w:hideMark/>
          </w:tcPr>
          <w:p w14:paraId="6268AE31"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630" w:type="dxa"/>
            <w:tcBorders>
              <w:top w:val="nil"/>
              <w:left w:val="nil"/>
              <w:bottom w:val="single" w:sz="4" w:space="0" w:color="auto"/>
              <w:right w:val="single" w:sz="4" w:space="0" w:color="auto"/>
            </w:tcBorders>
            <w:shd w:val="clear" w:color="auto" w:fill="0070C0"/>
            <w:noWrap/>
            <w:vAlign w:val="center"/>
            <w:hideMark/>
          </w:tcPr>
          <w:p w14:paraId="64EF681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w:t>
            </w:r>
          </w:p>
        </w:tc>
        <w:tc>
          <w:tcPr>
            <w:tcW w:w="540" w:type="dxa"/>
            <w:tcBorders>
              <w:top w:val="nil"/>
              <w:left w:val="nil"/>
              <w:bottom w:val="single" w:sz="4" w:space="0" w:color="auto"/>
              <w:right w:val="single" w:sz="4" w:space="0" w:color="auto"/>
            </w:tcBorders>
            <w:shd w:val="clear" w:color="auto" w:fill="0070C0"/>
            <w:noWrap/>
            <w:vAlign w:val="center"/>
            <w:hideMark/>
          </w:tcPr>
          <w:p w14:paraId="4F790F79"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0.0</w:t>
            </w:r>
          </w:p>
        </w:tc>
        <w:tc>
          <w:tcPr>
            <w:tcW w:w="630" w:type="dxa"/>
            <w:tcBorders>
              <w:top w:val="nil"/>
              <w:left w:val="nil"/>
              <w:bottom w:val="single" w:sz="4" w:space="0" w:color="auto"/>
              <w:right w:val="single" w:sz="4" w:space="0" w:color="auto"/>
            </w:tcBorders>
            <w:shd w:val="clear" w:color="auto" w:fill="0070C0"/>
            <w:noWrap/>
            <w:vAlign w:val="center"/>
            <w:hideMark/>
          </w:tcPr>
          <w:p w14:paraId="72537BFB"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+480</w:t>
            </w:r>
          </w:p>
        </w:tc>
        <w:tc>
          <w:tcPr>
            <w:tcW w:w="540" w:type="dxa"/>
            <w:tcBorders>
              <w:top w:val="nil"/>
              <w:left w:val="nil"/>
              <w:bottom w:val="single" w:sz="4" w:space="0" w:color="auto"/>
              <w:right w:val="single" w:sz="4" w:space="0" w:color="auto"/>
            </w:tcBorders>
            <w:shd w:val="clear" w:color="auto" w:fill="0070C0"/>
            <w:noWrap/>
            <w:vAlign w:val="center"/>
            <w:hideMark/>
          </w:tcPr>
          <w:p w14:paraId="07C84306"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3.0</w:t>
            </w:r>
          </w:p>
        </w:tc>
        <w:tc>
          <w:tcPr>
            <w:tcW w:w="1170" w:type="dxa"/>
            <w:tcBorders>
              <w:top w:val="nil"/>
              <w:left w:val="nil"/>
              <w:bottom w:val="single" w:sz="4" w:space="0" w:color="auto"/>
              <w:right w:val="single" w:sz="4" w:space="0" w:color="auto"/>
            </w:tcBorders>
            <w:shd w:val="clear" w:color="auto" w:fill="0070C0"/>
            <w:noWrap/>
            <w:vAlign w:val="bottom"/>
            <w:hideMark/>
          </w:tcPr>
          <w:p w14:paraId="28BFF3F4" w14:textId="77777777" w:rsidR="00EF027D" w:rsidRPr="00EF027D" w:rsidRDefault="00EF027D" w:rsidP="00CF4EDE">
            <w:pPr>
              <w:overflowPunct/>
              <w:autoSpaceDE/>
              <w:autoSpaceDN/>
              <w:adjustRightInd/>
              <w:spacing w:after="0"/>
              <w:jc w:val="center"/>
              <w:textAlignment w:val="auto"/>
              <w:rPr>
                <w:rFonts w:asciiTheme="minorHAnsi" w:hAnsiTheme="minorHAnsi" w:cstheme="minorHAnsi"/>
                <w:color w:val="000000"/>
                <w:sz w:val="16"/>
                <w:szCs w:val="16"/>
                <w:lang w:val="en-US" w:eastAsia="en-US"/>
              </w:rPr>
            </w:pPr>
            <w:r w:rsidRPr="00EF027D">
              <w:rPr>
                <w:rFonts w:asciiTheme="minorHAnsi" w:hAnsiTheme="minorHAnsi" w:cstheme="minorHAnsi"/>
                <w:color w:val="000000"/>
                <w:sz w:val="16"/>
                <w:szCs w:val="16"/>
                <w:lang w:val="en-US" w:eastAsia="en-US"/>
              </w:rPr>
              <w:t>TDD_NC</w:t>
            </w:r>
          </w:p>
        </w:tc>
      </w:tr>
    </w:tbl>
    <w:p w14:paraId="3CD2D206" w14:textId="77777777" w:rsidR="00EE6AD3" w:rsidRPr="00EE6AD3" w:rsidRDefault="00EE6AD3" w:rsidP="00EE6AD3">
      <w:pPr>
        <w:rPr>
          <w:lang w:val="en-US"/>
        </w:rPr>
      </w:pPr>
    </w:p>
    <w:p w14:paraId="28288795" w14:textId="67C86FF6" w:rsidR="00925E38" w:rsidRPr="00925E38" w:rsidRDefault="00656915" w:rsidP="00925E38">
      <w:pPr>
        <w:spacing w:after="0"/>
        <w:rPr>
          <w:rFonts w:eastAsia="Arial"/>
          <w:b/>
          <w:bCs/>
          <w:lang w:eastAsia="zh-CN"/>
        </w:rPr>
      </w:pPr>
      <w:r w:rsidRPr="00656915">
        <w:rPr>
          <w:rFonts w:eastAsia="Arial"/>
          <w:b/>
          <w:bCs/>
          <w:lang w:eastAsia="zh-CN"/>
        </w:rPr>
        <w:t>Observations:</w:t>
      </w:r>
    </w:p>
    <w:p w14:paraId="6F37CB70" w14:textId="1F283909" w:rsidR="008C118D" w:rsidRDefault="008C118D">
      <w:pPr>
        <w:pStyle w:val="ListParagraph"/>
        <w:numPr>
          <w:ilvl w:val="0"/>
          <w:numId w:val="24"/>
        </w:numPr>
        <w:spacing w:after="0"/>
        <w:ind w:left="360" w:firstLineChars="0"/>
        <w:rPr>
          <w:rFonts w:eastAsia="Arial"/>
          <w:b/>
          <w:bCs/>
          <w:lang w:eastAsia="zh-CN"/>
        </w:rPr>
      </w:pPr>
      <w:r>
        <w:rPr>
          <w:rFonts w:eastAsia="Arial"/>
          <w:b/>
          <w:bCs/>
          <w:lang w:eastAsia="zh-CN"/>
        </w:rPr>
        <w:t>Whatever the allocation and the back-off assumed</w:t>
      </w:r>
      <w:r w:rsidR="0054083F">
        <w:rPr>
          <w:rFonts w:eastAsia="Arial"/>
          <w:b/>
          <w:bCs/>
          <w:lang w:eastAsia="zh-CN"/>
        </w:rPr>
        <w:t>,</w:t>
      </w:r>
      <w:r>
        <w:rPr>
          <w:rFonts w:eastAsia="Arial"/>
          <w:b/>
          <w:bCs/>
          <w:lang w:eastAsia="zh-CN"/>
        </w:rPr>
        <w:t xml:space="preserve"> the ULCA related interference </w:t>
      </w:r>
      <w:r w:rsidR="0054083F">
        <w:rPr>
          <w:rFonts w:eastAsia="Arial"/>
          <w:b/>
          <w:bCs/>
          <w:lang w:eastAsia="zh-CN"/>
        </w:rPr>
        <w:t xml:space="preserve">range and level </w:t>
      </w:r>
      <w:r>
        <w:rPr>
          <w:rFonts w:eastAsia="Arial"/>
          <w:b/>
          <w:bCs/>
          <w:lang w:eastAsia="zh-CN"/>
        </w:rPr>
        <w:t>is orders of magnitude higher than the single CC case.</w:t>
      </w:r>
    </w:p>
    <w:p w14:paraId="29A3B8DD" w14:textId="6520C5DD" w:rsidR="008C118D" w:rsidRDefault="008C118D">
      <w:pPr>
        <w:pStyle w:val="ListParagraph"/>
        <w:numPr>
          <w:ilvl w:val="0"/>
          <w:numId w:val="24"/>
        </w:numPr>
        <w:spacing w:after="0"/>
        <w:ind w:left="360" w:firstLineChars="0"/>
        <w:rPr>
          <w:rFonts w:eastAsia="Arial"/>
          <w:b/>
          <w:bCs/>
          <w:lang w:eastAsia="zh-CN"/>
        </w:rPr>
      </w:pPr>
      <w:r>
        <w:rPr>
          <w:rFonts w:eastAsia="Arial"/>
          <w:b/>
          <w:bCs/>
          <w:lang w:eastAsia="zh-CN"/>
        </w:rPr>
        <w:t>For single CC, the interference level and range essentially depend on the TRX impairment level at the input of the PA</w:t>
      </w:r>
      <w:r w:rsidR="0054083F">
        <w:rPr>
          <w:rFonts w:eastAsia="Arial"/>
          <w:b/>
          <w:bCs/>
          <w:lang w:eastAsia="zh-CN"/>
        </w:rPr>
        <w:t>,</w:t>
      </w:r>
      <w:r>
        <w:rPr>
          <w:rFonts w:eastAsia="Arial"/>
          <w:b/>
          <w:bCs/>
          <w:lang w:eastAsia="zh-CN"/>
        </w:rPr>
        <w:t xml:space="preserve"> while for ULCA it is solely the PA non-linearity behaviour (FW IMD in most case for contiguous ULCA and reverse IMD. </w:t>
      </w:r>
    </w:p>
    <w:p w14:paraId="193CD93C" w14:textId="0F1A79EA" w:rsidR="008C118D" w:rsidRDefault="008C118D">
      <w:pPr>
        <w:pStyle w:val="ListParagraph"/>
        <w:numPr>
          <w:ilvl w:val="0"/>
          <w:numId w:val="30"/>
        </w:numPr>
        <w:spacing w:after="0"/>
        <w:ind w:firstLineChars="0"/>
        <w:rPr>
          <w:rFonts w:eastAsia="Arial"/>
          <w:b/>
          <w:bCs/>
          <w:lang w:eastAsia="zh-CN"/>
        </w:rPr>
      </w:pPr>
      <w:r>
        <w:rPr>
          <w:rFonts w:eastAsia="Arial"/>
          <w:b/>
          <w:bCs/>
          <w:lang w:eastAsia="zh-CN"/>
        </w:rPr>
        <w:t>Single CC measurement and test is not representative of the ULCA behavior</w:t>
      </w:r>
    </w:p>
    <w:p w14:paraId="05C3C1CE" w14:textId="2C78E864" w:rsidR="008C118D" w:rsidRPr="008C118D" w:rsidRDefault="008C118D">
      <w:pPr>
        <w:pStyle w:val="ListParagraph"/>
        <w:numPr>
          <w:ilvl w:val="0"/>
          <w:numId w:val="30"/>
        </w:numPr>
        <w:spacing w:after="0"/>
        <w:ind w:firstLineChars="0"/>
        <w:rPr>
          <w:rFonts w:eastAsia="Arial"/>
          <w:b/>
          <w:bCs/>
          <w:lang w:eastAsia="zh-CN"/>
        </w:rPr>
      </w:pPr>
      <w:r>
        <w:rPr>
          <w:rFonts w:eastAsia="Arial"/>
          <w:b/>
          <w:bCs/>
          <w:lang w:eastAsia="zh-CN"/>
        </w:rPr>
        <w:t>TDD UL cross band MSD is usually worse than FDD UL as fully allocated spectrum decays less rapidly than FDD allocated RB and its image IMDs and duplexers often provide higher rejection.</w:t>
      </w:r>
    </w:p>
    <w:p w14:paraId="0FA30B22" w14:textId="65386ED3" w:rsidR="005D6CA2" w:rsidRDefault="00A64665">
      <w:pPr>
        <w:pStyle w:val="ListParagraph"/>
        <w:numPr>
          <w:ilvl w:val="0"/>
          <w:numId w:val="24"/>
        </w:numPr>
        <w:spacing w:after="0"/>
        <w:ind w:left="360" w:firstLineChars="0"/>
        <w:rPr>
          <w:rFonts w:eastAsia="Arial"/>
          <w:b/>
          <w:bCs/>
          <w:lang w:eastAsia="zh-CN"/>
        </w:rPr>
      </w:pPr>
      <w:r>
        <w:rPr>
          <w:rFonts w:eastAsia="Arial"/>
          <w:b/>
          <w:bCs/>
          <w:lang w:eastAsia="zh-CN"/>
        </w:rPr>
        <w:lastRenderedPageBreak/>
        <w:t xml:space="preserve">As illustrated in </w:t>
      </w:r>
      <w:r w:rsidR="0054083F">
        <w:rPr>
          <w:rFonts w:eastAsia="Arial"/>
          <w:b/>
          <w:bCs/>
          <w:lang w:eastAsia="zh-CN"/>
        </w:rPr>
        <w:t>F</w:t>
      </w:r>
      <w:r>
        <w:rPr>
          <w:rFonts w:eastAsia="Arial"/>
          <w:b/>
          <w:bCs/>
          <w:lang w:eastAsia="zh-CN"/>
        </w:rPr>
        <w:t>igure 9 (left) below, t</w:t>
      </w:r>
      <w:r w:rsidR="008C118D">
        <w:rPr>
          <w:rFonts w:eastAsia="Arial"/>
          <w:b/>
          <w:bCs/>
          <w:lang w:eastAsia="zh-CN"/>
        </w:rPr>
        <w:t xml:space="preserve">he fully allocated no MPR suggested allocation for </w:t>
      </w:r>
      <w:r>
        <w:rPr>
          <w:rFonts w:eastAsia="Arial"/>
          <w:b/>
          <w:bCs/>
          <w:lang w:eastAsia="zh-CN"/>
        </w:rPr>
        <w:t xml:space="preserve">contiguous </w:t>
      </w:r>
      <w:r w:rsidR="008C118D">
        <w:rPr>
          <w:rFonts w:eastAsia="Arial"/>
          <w:b/>
          <w:bCs/>
          <w:lang w:eastAsia="zh-CN"/>
        </w:rPr>
        <w:t xml:space="preserve">ULCA has a </w:t>
      </w:r>
      <w:r>
        <w:rPr>
          <w:rFonts w:eastAsia="Arial"/>
          <w:b/>
          <w:bCs/>
          <w:lang w:eastAsia="zh-CN"/>
        </w:rPr>
        <w:t>similar</w:t>
      </w:r>
      <w:r w:rsidR="008C118D">
        <w:rPr>
          <w:rFonts w:eastAsia="Arial"/>
          <w:b/>
          <w:bCs/>
          <w:lang w:eastAsia="zh-CN"/>
        </w:rPr>
        <w:t xml:space="preserve"> interference</w:t>
      </w:r>
      <w:r>
        <w:rPr>
          <w:rFonts w:eastAsia="Arial"/>
          <w:b/>
          <w:bCs/>
          <w:lang w:eastAsia="zh-CN"/>
        </w:rPr>
        <w:t xml:space="preserve"> level and BW than the current 1RB+1RB once integrated other 5MHz (+6.5dB).</w:t>
      </w:r>
    </w:p>
    <w:p w14:paraId="6E9C39C0" w14:textId="49F499ED" w:rsidR="00A64665" w:rsidRDefault="00A64665">
      <w:pPr>
        <w:pStyle w:val="ListParagraph"/>
        <w:numPr>
          <w:ilvl w:val="0"/>
          <w:numId w:val="24"/>
        </w:numPr>
        <w:spacing w:after="0"/>
        <w:ind w:left="360" w:firstLineChars="0"/>
        <w:rPr>
          <w:rFonts w:eastAsia="Arial"/>
          <w:b/>
          <w:bCs/>
          <w:lang w:eastAsia="zh-CN"/>
        </w:rPr>
      </w:pPr>
      <w:r>
        <w:rPr>
          <w:rFonts w:eastAsia="Arial"/>
          <w:b/>
          <w:bCs/>
          <w:lang w:eastAsia="zh-CN"/>
        </w:rPr>
        <w:t xml:space="preserve">As illustrated in </w:t>
      </w:r>
      <w:r w:rsidR="0054083F">
        <w:rPr>
          <w:rFonts w:eastAsia="Arial"/>
          <w:b/>
          <w:bCs/>
          <w:lang w:eastAsia="zh-CN"/>
        </w:rPr>
        <w:t>F</w:t>
      </w:r>
      <w:r>
        <w:rPr>
          <w:rFonts w:eastAsia="Arial"/>
          <w:b/>
          <w:bCs/>
          <w:lang w:eastAsia="zh-CN"/>
        </w:rPr>
        <w:t>igure 9 (right) below, the fully allocated no MPR suggested allocation for non-contiguous ULCA has a larger interference level and BW than the current 1RB+1RB once integrated other 5MHz (+6.5dB).</w:t>
      </w:r>
    </w:p>
    <w:p w14:paraId="23A2B161" w14:textId="5BB19867" w:rsidR="00A64665" w:rsidRDefault="00A64665">
      <w:pPr>
        <w:pStyle w:val="ListParagraph"/>
        <w:numPr>
          <w:ilvl w:val="0"/>
          <w:numId w:val="24"/>
        </w:numPr>
        <w:spacing w:after="0"/>
        <w:ind w:left="360" w:firstLineChars="0"/>
        <w:rPr>
          <w:rFonts w:eastAsia="Arial"/>
          <w:b/>
          <w:bCs/>
          <w:lang w:eastAsia="zh-CN"/>
        </w:rPr>
      </w:pPr>
      <w:r>
        <w:rPr>
          <w:rFonts w:eastAsia="Arial"/>
          <w:b/>
          <w:bCs/>
          <w:lang w:eastAsia="zh-CN"/>
        </w:rPr>
        <w:t xml:space="preserve">On top of not having </w:t>
      </w:r>
      <w:r w:rsidR="0054083F">
        <w:rPr>
          <w:rFonts w:eastAsia="Arial"/>
          <w:b/>
          <w:bCs/>
          <w:lang w:eastAsia="zh-CN"/>
        </w:rPr>
        <w:t xml:space="preserve">the </w:t>
      </w:r>
      <w:r>
        <w:rPr>
          <w:rFonts w:eastAsia="Arial"/>
          <w:b/>
          <w:bCs/>
          <w:lang w:eastAsia="zh-CN"/>
        </w:rPr>
        <w:t>benefit in lowering the potential MSD the suggested fully allocated condition for ULCA requires sim</w:t>
      </w:r>
      <w:r w:rsidR="007B385C">
        <w:rPr>
          <w:rFonts w:eastAsia="Arial"/>
          <w:b/>
          <w:bCs/>
          <w:lang w:eastAsia="zh-CN"/>
        </w:rPr>
        <w:t>u</w:t>
      </w:r>
      <w:r>
        <w:rPr>
          <w:rFonts w:eastAsia="Arial"/>
          <w:b/>
          <w:bCs/>
          <w:lang w:eastAsia="zh-CN"/>
        </w:rPr>
        <w:t xml:space="preserve">lations to integrate the </w:t>
      </w:r>
      <w:r w:rsidR="007B385C">
        <w:rPr>
          <w:rFonts w:eastAsia="Arial"/>
          <w:b/>
          <w:bCs/>
          <w:lang w:eastAsia="zh-CN"/>
        </w:rPr>
        <w:t xml:space="preserve">spectrum </w:t>
      </w:r>
      <w:r w:rsidR="0054083F">
        <w:rPr>
          <w:rFonts w:eastAsia="Arial"/>
          <w:b/>
          <w:bCs/>
          <w:lang w:eastAsia="zh-CN"/>
        </w:rPr>
        <w:t>s</w:t>
      </w:r>
      <w:r w:rsidR="007B385C">
        <w:rPr>
          <w:rFonts w:eastAsia="Arial"/>
          <w:b/>
          <w:bCs/>
          <w:lang w:eastAsia="zh-CN"/>
        </w:rPr>
        <w:t>hape while the 1RB+1RB condition allows a direct calculation based on IMD decay from a known IMD3 and/or IMD5 level.</w:t>
      </w:r>
    </w:p>
    <w:p w14:paraId="0BBC76B2" w14:textId="43FA3229" w:rsidR="007B385C" w:rsidRDefault="007B385C">
      <w:pPr>
        <w:pStyle w:val="ListParagraph"/>
        <w:numPr>
          <w:ilvl w:val="0"/>
          <w:numId w:val="24"/>
        </w:numPr>
        <w:spacing w:after="0"/>
        <w:ind w:left="360" w:firstLineChars="0"/>
        <w:rPr>
          <w:rFonts w:eastAsia="Arial"/>
          <w:b/>
          <w:bCs/>
          <w:lang w:eastAsia="zh-CN"/>
        </w:rPr>
      </w:pPr>
      <w:r>
        <w:rPr>
          <w:rFonts w:eastAsia="Arial"/>
          <w:b/>
          <w:bCs/>
          <w:lang w:eastAsia="zh-CN"/>
        </w:rPr>
        <w:t xml:space="preserve">For CA_n40-n41C DL with n41C UL there is no benefit </w:t>
      </w:r>
      <w:r w:rsidR="0054083F">
        <w:rPr>
          <w:rFonts w:eastAsia="Arial"/>
          <w:b/>
          <w:bCs/>
          <w:lang w:eastAsia="zh-CN"/>
        </w:rPr>
        <w:t>to</w:t>
      </w:r>
      <w:r>
        <w:rPr>
          <w:rFonts w:eastAsia="Arial"/>
          <w:b/>
          <w:bCs/>
          <w:lang w:eastAsia="zh-CN"/>
        </w:rPr>
        <w:t xml:space="preserve"> using a fully allocated UL configuration as in the ACLR1 region and integrating more interference BW the MSD will still be significant and even band n40 coexistence is a challenge.</w:t>
      </w:r>
    </w:p>
    <w:p w14:paraId="4037A019" w14:textId="5E72E91F" w:rsidR="007B385C" w:rsidRDefault="007B385C">
      <w:pPr>
        <w:pStyle w:val="ListParagraph"/>
        <w:numPr>
          <w:ilvl w:val="0"/>
          <w:numId w:val="24"/>
        </w:numPr>
        <w:spacing w:after="0"/>
        <w:ind w:left="360" w:firstLineChars="0"/>
        <w:rPr>
          <w:rFonts w:eastAsia="Arial"/>
          <w:b/>
          <w:bCs/>
          <w:lang w:eastAsia="zh-CN"/>
        </w:rPr>
      </w:pPr>
      <w:r>
        <w:rPr>
          <w:rFonts w:eastAsia="Arial"/>
          <w:b/>
          <w:bCs/>
          <w:lang w:eastAsia="zh-CN"/>
        </w:rPr>
        <w:t xml:space="preserve">For CA_n77(2A) and alike UL configuration, using fully allocated non-contiguous CCs will result in higher MSD </w:t>
      </w:r>
      <w:r w:rsidR="00A65C1B">
        <w:rPr>
          <w:rFonts w:eastAsia="Arial"/>
          <w:b/>
          <w:bCs/>
          <w:lang w:eastAsia="zh-CN"/>
        </w:rPr>
        <w:t>which will need simulations to be assessed.</w:t>
      </w:r>
    </w:p>
    <w:p w14:paraId="21A48DDE" w14:textId="5ADBF9AB" w:rsidR="00A344C1" w:rsidRDefault="00A344C1" w:rsidP="00A344C1">
      <w:pPr>
        <w:spacing w:after="0"/>
        <w:rPr>
          <w:rFonts w:eastAsia="Arial"/>
          <w:b/>
          <w:bCs/>
          <w:lang w:eastAsia="zh-CN"/>
        </w:rPr>
      </w:pPr>
    </w:p>
    <w:p w14:paraId="4F05B21E" w14:textId="77777777" w:rsidR="007B385C" w:rsidRDefault="007B385C" w:rsidP="007B385C">
      <w:pPr>
        <w:keepNext/>
        <w:spacing w:after="0"/>
      </w:pPr>
      <w:r>
        <w:rPr>
          <w:rFonts w:eastAsia="Arial"/>
          <w:b/>
          <w:bCs/>
          <w:noProof/>
          <w:lang w:eastAsia="zh-CN"/>
        </w:rPr>
        <w:drawing>
          <wp:inline distT="0" distB="0" distL="0" distR="0" wp14:anchorId="35FD0C6E" wp14:editId="452EEE36">
            <wp:extent cx="3280856" cy="2304301"/>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97370" cy="2315900"/>
                    </a:xfrm>
                    <a:prstGeom prst="rect">
                      <a:avLst/>
                    </a:prstGeom>
                    <a:noFill/>
                  </pic:spPr>
                </pic:pic>
              </a:graphicData>
            </a:graphic>
          </wp:inline>
        </w:drawing>
      </w:r>
      <w:r>
        <w:rPr>
          <w:rFonts w:eastAsia="Arial"/>
          <w:b/>
          <w:bCs/>
          <w:noProof/>
          <w:lang w:eastAsia="zh-CN"/>
        </w:rPr>
        <w:drawing>
          <wp:inline distT="0" distB="0" distL="0" distR="0" wp14:anchorId="190C562E" wp14:editId="527D4AE9">
            <wp:extent cx="3275462" cy="2300514"/>
            <wp:effectExtent l="0" t="0" r="127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19011" cy="2331100"/>
                    </a:xfrm>
                    <a:prstGeom prst="rect">
                      <a:avLst/>
                    </a:prstGeom>
                    <a:noFill/>
                  </pic:spPr>
                </pic:pic>
              </a:graphicData>
            </a:graphic>
          </wp:inline>
        </w:drawing>
      </w:r>
    </w:p>
    <w:p w14:paraId="4406097C" w14:textId="78CB5088" w:rsidR="007B385C" w:rsidRDefault="007B385C" w:rsidP="0054083F">
      <w:pPr>
        <w:pStyle w:val="Caption"/>
        <w:spacing w:after="0"/>
        <w:rPr>
          <w:rFonts w:eastAsia="Arial"/>
          <w:b w:val="0"/>
          <w:bCs w:val="0"/>
          <w:lang w:eastAsia="zh-CN"/>
        </w:rPr>
      </w:pPr>
      <w:r>
        <w:t xml:space="preserve">Figure </w:t>
      </w:r>
      <w:r>
        <w:fldChar w:fldCharType="begin"/>
      </w:r>
      <w:r>
        <w:instrText xml:space="preserve"> SEQ Figure \* ARABIC </w:instrText>
      </w:r>
      <w:r>
        <w:fldChar w:fldCharType="separate"/>
      </w:r>
      <w:r>
        <w:rPr>
          <w:noProof/>
        </w:rPr>
        <w:t>9</w:t>
      </w:r>
      <w:r>
        <w:fldChar w:fldCharType="end"/>
      </w:r>
      <w:r>
        <w:t>: Comparison of suggested fully allocated versus currently used 1RB+1RB UL configuration for contiguous ULCA (left) and non-contiguous ULCA (right)</w:t>
      </w:r>
    </w:p>
    <w:p w14:paraId="34D13751" w14:textId="77777777" w:rsidR="007B385C" w:rsidRDefault="007B385C" w:rsidP="00A344C1">
      <w:pPr>
        <w:spacing w:after="0"/>
        <w:rPr>
          <w:rFonts w:eastAsia="Arial"/>
          <w:b/>
          <w:bCs/>
          <w:lang w:eastAsia="zh-CN"/>
        </w:rPr>
      </w:pPr>
    </w:p>
    <w:p w14:paraId="14F53873" w14:textId="706323C9" w:rsidR="00A344C1" w:rsidRDefault="00A344C1" w:rsidP="00A344C1">
      <w:pPr>
        <w:spacing w:after="0"/>
        <w:jc w:val="both"/>
        <w:rPr>
          <w:rFonts w:eastAsia="Arial"/>
          <w:b/>
          <w:bCs/>
          <w:lang w:eastAsia="zh-CN"/>
        </w:rPr>
      </w:pPr>
      <w:r>
        <w:rPr>
          <w:rFonts w:eastAsia="Arial"/>
          <w:b/>
          <w:bCs/>
          <w:lang w:eastAsia="zh-CN"/>
        </w:rPr>
        <w:t>Proposal: If RB allocation (1RB+1RB) is re-considered for intra-band ULCA within an inter-band DL CA, it should be for intra-band TDD ULCA only</w:t>
      </w:r>
      <w:r w:rsidR="00925E38">
        <w:rPr>
          <w:rFonts w:eastAsia="Arial"/>
          <w:b/>
          <w:bCs/>
          <w:lang w:eastAsia="zh-CN"/>
        </w:rPr>
        <w:t xml:space="preserve"> as for FDD intra-band ULCA, the RB allocation is derived from the REFSENS UL configuration and MPR is not applied</w:t>
      </w:r>
      <w:r>
        <w:rPr>
          <w:rFonts w:eastAsia="Arial"/>
          <w:b/>
          <w:bCs/>
          <w:lang w:eastAsia="zh-CN"/>
        </w:rPr>
        <w:t>.</w:t>
      </w:r>
      <w:r w:rsidR="00C85F89">
        <w:rPr>
          <w:rFonts w:eastAsia="Arial"/>
          <w:b/>
          <w:bCs/>
          <w:lang w:eastAsia="zh-CN"/>
        </w:rPr>
        <w:t xml:space="preserve"> At this point we still do not see a technical justification for this.</w:t>
      </w:r>
    </w:p>
    <w:p w14:paraId="266893A7" w14:textId="77777777" w:rsidR="00A344C1" w:rsidRPr="00A344C1" w:rsidRDefault="00A344C1" w:rsidP="00A344C1">
      <w:pPr>
        <w:spacing w:after="0"/>
        <w:rPr>
          <w:rFonts w:eastAsia="Arial"/>
          <w:b/>
          <w:bCs/>
          <w:lang w:eastAsia="zh-CN"/>
        </w:rPr>
      </w:pPr>
    </w:p>
    <w:p w14:paraId="077AB063" w14:textId="23E9B7B5" w:rsidR="003C6F09" w:rsidRDefault="003C6F09" w:rsidP="003C6F09">
      <w:pPr>
        <w:pStyle w:val="Heading2"/>
        <w:rPr>
          <w:rFonts w:eastAsia="Arial"/>
          <w:lang w:eastAsia="zh-CN"/>
        </w:rPr>
      </w:pPr>
      <w:r>
        <w:rPr>
          <w:rFonts w:eastAsia="Arial"/>
          <w:lang w:eastAsia="zh-CN"/>
        </w:rPr>
        <w:t>2.</w:t>
      </w:r>
      <w:r w:rsidR="007B385C">
        <w:rPr>
          <w:rFonts w:eastAsia="Arial"/>
          <w:lang w:eastAsia="zh-CN"/>
        </w:rPr>
        <w:t>6</w:t>
      </w:r>
      <w:r>
        <w:rPr>
          <w:rFonts w:eastAsia="Arial"/>
          <w:lang w:eastAsia="zh-CN"/>
        </w:rPr>
        <w:t xml:space="preserve"> Alternatives </w:t>
      </w:r>
      <w:r w:rsidR="007B385C">
        <w:rPr>
          <w:rFonts w:eastAsia="Arial"/>
          <w:lang w:eastAsia="zh-CN"/>
        </w:rPr>
        <w:t>to reduce RAN4 effort for intra/inter band combinations using intra-band ULCA UL configuration.</w:t>
      </w:r>
    </w:p>
    <w:p w14:paraId="07F8866B" w14:textId="4799D909" w:rsidR="00881953" w:rsidRDefault="00A65C1B" w:rsidP="003C6F09">
      <w:pPr>
        <w:spacing w:after="0"/>
        <w:rPr>
          <w:rFonts w:eastAsia="Arial"/>
          <w:lang w:eastAsia="zh-CN"/>
        </w:rPr>
      </w:pPr>
      <w:r>
        <w:rPr>
          <w:rFonts w:eastAsia="Arial"/>
          <w:lang w:eastAsia="zh-CN"/>
        </w:rPr>
        <w:t xml:space="preserve">With the above, we have </w:t>
      </w:r>
      <w:r w:rsidR="0054083F">
        <w:rPr>
          <w:rFonts w:eastAsia="Arial"/>
          <w:lang w:eastAsia="zh-CN"/>
        </w:rPr>
        <w:t xml:space="preserve">unfortunately </w:t>
      </w:r>
      <w:r>
        <w:rPr>
          <w:rFonts w:eastAsia="Arial"/>
          <w:lang w:eastAsia="zh-CN"/>
        </w:rPr>
        <w:t xml:space="preserve">shown that, </w:t>
      </w:r>
      <w:r w:rsidRPr="00BD1867">
        <w:rPr>
          <w:rFonts w:eastAsia="Arial"/>
          <w:b/>
          <w:bCs/>
          <w:lang w:eastAsia="zh-CN"/>
        </w:rPr>
        <w:t>ULCA related interference is a bigger issue than single CC</w:t>
      </w:r>
      <w:r>
        <w:rPr>
          <w:rFonts w:eastAsia="Arial"/>
          <w:lang w:eastAsia="zh-CN"/>
        </w:rPr>
        <w:t xml:space="preserve"> and is not fully correlated in terms of test </w:t>
      </w:r>
      <w:r w:rsidR="0054083F">
        <w:rPr>
          <w:rFonts w:eastAsia="Arial"/>
          <w:lang w:eastAsia="zh-CN"/>
        </w:rPr>
        <w:t>with</w:t>
      </w:r>
      <w:r>
        <w:rPr>
          <w:rFonts w:eastAsia="Arial"/>
          <w:lang w:eastAsia="zh-CN"/>
        </w:rPr>
        <w:t xml:space="preserve"> the single CC case</w:t>
      </w:r>
      <w:r w:rsidR="0054083F">
        <w:rPr>
          <w:rFonts w:eastAsia="Arial"/>
          <w:lang w:eastAsia="zh-CN"/>
        </w:rPr>
        <w:t>.</w:t>
      </w:r>
      <w:r>
        <w:rPr>
          <w:rFonts w:eastAsia="Arial"/>
          <w:lang w:eastAsia="zh-CN"/>
        </w:rPr>
        <w:t xml:space="preserve"> </w:t>
      </w:r>
      <w:r w:rsidR="0054083F">
        <w:rPr>
          <w:rFonts w:eastAsia="Arial"/>
          <w:lang w:eastAsia="zh-CN"/>
        </w:rPr>
        <w:t>T</w:t>
      </w:r>
      <w:r>
        <w:rPr>
          <w:rFonts w:eastAsia="Arial"/>
          <w:lang w:eastAsia="zh-CN"/>
        </w:rPr>
        <w:t xml:space="preserve">he TRX impairment plays a role </w:t>
      </w:r>
      <w:r w:rsidR="0054083F">
        <w:rPr>
          <w:rFonts w:eastAsia="Arial"/>
          <w:lang w:eastAsia="zh-CN"/>
        </w:rPr>
        <w:t xml:space="preserve">in the interference level for single CC, </w:t>
      </w:r>
      <w:r>
        <w:rPr>
          <w:rFonts w:eastAsia="Arial"/>
          <w:lang w:eastAsia="zh-CN"/>
        </w:rPr>
        <w:t>while it is not the case for ULCA. Furthermore, in 2TX or Dual PA case, a second PA is in play in ULCA.</w:t>
      </w:r>
    </w:p>
    <w:p w14:paraId="776FC9C6" w14:textId="169CAD17" w:rsidR="00A65C1B" w:rsidRDefault="00A65C1B" w:rsidP="003C6F09">
      <w:pPr>
        <w:spacing w:after="0"/>
        <w:rPr>
          <w:rFonts w:eastAsia="Arial"/>
          <w:lang w:eastAsia="zh-CN"/>
        </w:rPr>
      </w:pPr>
    </w:p>
    <w:p w14:paraId="13A8FE16" w14:textId="0FF74F78" w:rsidR="00A65C1B" w:rsidRDefault="00A65C1B" w:rsidP="003C6F09">
      <w:pPr>
        <w:spacing w:after="0"/>
        <w:rPr>
          <w:rFonts w:eastAsia="Arial"/>
          <w:lang w:eastAsia="zh-CN"/>
        </w:rPr>
      </w:pPr>
      <w:r>
        <w:rPr>
          <w:rFonts w:eastAsia="Arial"/>
          <w:lang w:eastAsia="zh-CN"/>
        </w:rPr>
        <w:t xml:space="preserve">Similarly, we have shown that </w:t>
      </w:r>
      <w:r w:rsidRPr="00BD1867">
        <w:rPr>
          <w:rFonts w:eastAsia="Arial"/>
          <w:b/>
          <w:bCs/>
          <w:lang w:eastAsia="zh-CN"/>
        </w:rPr>
        <w:t>there are only disadvantages to us</w:t>
      </w:r>
      <w:r w:rsidR="0054083F">
        <w:rPr>
          <w:rFonts w:eastAsia="Arial"/>
          <w:b/>
          <w:bCs/>
          <w:lang w:eastAsia="zh-CN"/>
        </w:rPr>
        <w:t>ing</w:t>
      </w:r>
      <w:r w:rsidRPr="00BD1867">
        <w:rPr>
          <w:rFonts w:eastAsia="Arial"/>
          <w:b/>
          <w:bCs/>
          <w:lang w:eastAsia="zh-CN"/>
        </w:rPr>
        <w:t xml:space="preserve"> fully allocated CCs for MSD assessment and test point design for intra-band ULCA </w:t>
      </w:r>
      <w:r>
        <w:rPr>
          <w:rFonts w:eastAsia="Arial"/>
          <w:lang w:eastAsia="zh-CN"/>
        </w:rPr>
        <w:t>UL configurations.</w:t>
      </w:r>
    </w:p>
    <w:p w14:paraId="645C7F40" w14:textId="4B8AB0F0" w:rsidR="00A65C1B" w:rsidRDefault="00A65C1B" w:rsidP="003C6F09">
      <w:pPr>
        <w:spacing w:after="0"/>
        <w:rPr>
          <w:rFonts w:eastAsia="Arial"/>
          <w:lang w:eastAsia="zh-CN"/>
        </w:rPr>
      </w:pPr>
    </w:p>
    <w:p w14:paraId="22B2B63D" w14:textId="47507CD3" w:rsidR="00A65C1B" w:rsidRDefault="0054083F" w:rsidP="003C6F09">
      <w:pPr>
        <w:spacing w:after="0"/>
        <w:rPr>
          <w:rFonts w:eastAsia="Arial"/>
          <w:lang w:eastAsia="zh-CN"/>
        </w:rPr>
      </w:pPr>
      <w:r>
        <w:rPr>
          <w:rFonts w:eastAsia="Arial"/>
          <w:lang w:eastAsia="zh-CN"/>
        </w:rPr>
        <w:t>Accordingly,</w:t>
      </w:r>
      <w:r w:rsidR="00A65C1B">
        <w:rPr>
          <w:rFonts w:eastAsia="Arial"/>
          <w:lang w:eastAsia="zh-CN"/>
        </w:rPr>
        <w:t xml:space="preserve"> we do not see any strong desire to change the existing specification framework developed across Rel-17 and Rel-18.</w:t>
      </w:r>
    </w:p>
    <w:p w14:paraId="7FE042ED" w14:textId="5974820C" w:rsidR="00A65C1B" w:rsidRDefault="00A65C1B" w:rsidP="003C6F09">
      <w:pPr>
        <w:spacing w:after="0"/>
        <w:rPr>
          <w:rFonts w:eastAsia="Arial"/>
          <w:lang w:eastAsia="zh-CN"/>
        </w:rPr>
      </w:pPr>
    </w:p>
    <w:p w14:paraId="7DFAF117" w14:textId="37396302" w:rsidR="00C85F89" w:rsidRDefault="00A65C1B" w:rsidP="003C6F09">
      <w:pPr>
        <w:spacing w:after="0"/>
        <w:rPr>
          <w:rFonts w:eastAsia="Arial"/>
          <w:lang w:eastAsia="zh-CN"/>
        </w:rPr>
      </w:pPr>
      <w:r>
        <w:rPr>
          <w:rFonts w:eastAsia="Arial"/>
          <w:lang w:eastAsia="zh-CN"/>
        </w:rPr>
        <w:t>Nevertheless, we have sympathy</w:t>
      </w:r>
      <w:r w:rsidR="00637BD5">
        <w:rPr>
          <w:rFonts w:eastAsia="Arial"/>
          <w:lang w:eastAsia="zh-CN"/>
        </w:rPr>
        <w:t xml:space="preserve"> for</w:t>
      </w:r>
      <w:r>
        <w:rPr>
          <w:rFonts w:eastAsia="Arial"/>
          <w:lang w:eastAsia="zh-CN"/>
        </w:rPr>
        <w:t xml:space="preserve"> to the fact that these configurations are not so frequent in the network and may not justify so much effort in RAN4. </w:t>
      </w:r>
    </w:p>
    <w:p w14:paraId="5B4CE187" w14:textId="77777777" w:rsidR="00C85F89" w:rsidRDefault="00C85F89" w:rsidP="003C6F09">
      <w:pPr>
        <w:spacing w:after="0"/>
        <w:rPr>
          <w:rFonts w:eastAsia="Arial"/>
          <w:lang w:eastAsia="zh-CN"/>
        </w:rPr>
      </w:pPr>
    </w:p>
    <w:p w14:paraId="337310EF" w14:textId="0EF07F25" w:rsidR="00C85F89" w:rsidRDefault="00A65C1B" w:rsidP="003C6F09">
      <w:pPr>
        <w:spacing w:after="0"/>
        <w:rPr>
          <w:rFonts w:eastAsia="Arial"/>
          <w:lang w:eastAsia="zh-CN"/>
        </w:rPr>
      </w:pPr>
      <w:r>
        <w:rPr>
          <w:rFonts w:eastAsia="Arial"/>
          <w:lang w:eastAsia="zh-CN"/>
        </w:rPr>
        <w:t>That is as long as the RAN4 community</w:t>
      </w:r>
      <w:r w:rsidR="00C85F89">
        <w:rPr>
          <w:rFonts w:eastAsia="Arial"/>
          <w:lang w:eastAsia="zh-CN"/>
        </w:rPr>
        <w:t xml:space="preserve"> </w:t>
      </w:r>
      <w:r>
        <w:rPr>
          <w:rFonts w:eastAsia="Arial"/>
          <w:lang w:eastAsia="zh-CN"/>
        </w:rPr>
        <w:t>is conscious that the performance of such configuration</w:t>
      </w:r>
      <w:r w:rsidR="00637BD5">
        <w:rPr>
          <w:rFonts w:eastAsia="Arial"/>
          <w:lang w:eastAsia="zh-CN"/>
        </w:rPr>
        <w:t>s</w:t>
      </w:r>
      <w:r>
        <w:rPr>
          <w:rFonts w:eastAsia="Arial"/>
          <w:lang w:eastAsia="zh-CN"/>
        </w:rPr>
        <w:t xml:space="preserve"> is in general much worse than single CC in many cases and may even jeopardize band protections</w:t>
      </w:r>
      <w:r w:rsidR="00BD1867">
        <w:rPr>
          <w:rFonts w:eastAsia="Arial"/>
          <w:lang w:eastAsia="zh-CN"/>
        </w:rPr>
        <w:t>. Beyond RAN4,</w:t>
      </w:r>
      <w:r w:rsidR="00C85F89">
        <w:rPr>
          <w:rFonts w:eastAsia="Arial"/>
          <w:lang w:eastAsia="zh-CN"/>
        </w:rPr>
        <w:t xml:space="preserve"> </w:t>
      </w:r>
      <w:r w:rsidR="00637BD5">
        <w:rPr>
          <w:rFonts w:eastAsia="Arial"/>
          <w:lang w:eastAsia="zh-CN"/>
        </w:rPr>
        <w:t>without</w:t>
      </w:r>
      <w:r w:rsidR="00C85F89">
        <w:rPr>
          <w:rFonts w:eastAsia="Arial"/>
          <w:lang w:eastAsia="zh-CN"/>
        </w:rPr>
        <w:t xml:space="preserve"> </w:t>
      </w:r>
      <w:r w:rsidR="00BD1867">
        <w:rPr>
          <w:rFonts w:eastAsia="Arial"/>
          <w:lang w:eastAsia="zh-CN"/>
        </w:rPr>
        <w:t xml:space="preserve">RAN4 </w:t>
      </w:r>
      <w:r w:rsidR="00C85F89">
        <w:rPr>
          <w:rFonts w:eastAsia="Arial"/>
          <w:lang w:eastAsia="zh-CN"/>
        </w:rPr>
        <w:t>spec</w:t>
      </w:r>
      <w:r w:rsidR="00BD1867">
        <w:rPr>
          <w:rFonts w:eastAsia="Arial"/>
          <w:lang w:eastAsia="zh-CN"/>
        </w:rPr>
        <w:t xml:space="preserve">ification </w:t>
      </w:r>
      <w:r w:rsidR="00C85F89">
        <w:rPr>
          <w:rFonts w:eastAsia="Arial"/>
          <w:lang w:eastAsia="zh-CN"/>
        </w:rPr>
        <w:t xml:space="preserve">, </w:t>
      </w:r>
      <w:r w:rsidR="00BD1867">
        <w:rPr>
          <w:rFonts w:eastAsia="Arial"/>
          <w:lang w:eastAsia="zh-CN"/>
        </w:rPr>
        <w:t xml:space="preserve">network and UE vendor engineers </w:t>
      </w:r>
      <w:r w:rsidR="00C85F89">
        <w:rPr>
          <w:rFonts w:eastAsia="Arial"/>
          <w:lang w:eastAsia="zh-CN"/>
        </w:rPr>
        <w:t xml:space="preserve">may assume zero issue in the network </w:t>
      </w:r>
      <w:r w:rsidR="00637BD5">
        <w:rPr>
          <w:rFonts w:eastAsia="Arial"/>
          <w:lang w:eastAsia="zh-CN"/>
        </w:rPr>
        <w:t>(</w:t>
      </w:r>
      <w:r w:rsidR="00C85F89">
        <w:rPr>
          <w:rFonts w:eastAsia="Arial"/>
          <w:lang w:eastAsia="zh-CN"/>
        </w:rPr>
        <w:t>and be surprised by drop</w:t>
      </w:r>
      <w:r w:rsidR="00637BD5">
        <w:rPr>
          <w:rFonts w:eastAsia="Arial"/>
          <w:lang w:eastAsia="zh-CN"/>
        </w:rPr>
        <w:t>ped</w:t>
      </w:r>
      <w:r w:rsidR="00C85F89">
        <w:rPr>
          <w:rFonts w:eastAsia="Arial"/>
          <w:lang w:eastAsia="zh-CN"/>
        </w:rPr>
        <w:t xml:space="preserve"> call</w:t>
      </w:r>
      <w:r w:rsidR="00637BD5">
        <w:rPr>
          <w:rFonts w:eastAsia="Arial"/>
          <w:lang w:eastAsia="zh-CN"/>
        </w:rPr>
        <w:t>s or other performance issues</w:t>
      </w:r>
      <w:r w:rsidR="00C85F89">
        <w:rPr>
          <w:rFonts w:eastAsia="Arial"/>
          <w:lang w:eastAsia="zh-CN"/>
        </w:rPr>
        <w:t>)</w:t>
      </w:r>
      <w:r>
        <w:rPr>
          <w:rFonts w:eastAsia="Arial"/>
          <w:lang w:eastAsia="zh-CN"/>
        </w:rPr>
        <w:t xml:space="preserve">. </w:t>
      </w:r>
    </w:p>
    <w:p w14:paraId="7AC219C0" w14:textId="77777777" w:rsidR="00C85F89" w:rsidRDefault="00C85F89" w:rsidP="003C6F09">
      <w:pPr>
        <w:spacing w:after="0"/>
        <w:rPr>
          <w:rFonts w:eastAsia="Arial"/>
          <w:lang w:eastAsia="zh-CN"/>
        </w:rPr>
      </w:pPr>
    </w:p>
    <w:p w14:paraId="65ADDB40" w14:textId="21189A56" w:rsidR="00A65C1B" w:rsidRDefault="00A65C1B" w:rsidP="003C6F09">
      <w:pPr>
        <w:spacing w:after="0"/>
        <w:rPr>
          <w:rFonts w:eastAsia="Arial"/>
          <w:lang w:eastAsia="zh-CN"/>
        </w:rPr>
      </w:pPr>
      <w:r>
        <w:rPr>
          <w:rFonts w:eastAsia="Arial"/>
          <w:lang w:eastAsia="zh-CN"/>
        </w:rPr>
        <w:t>We are thus open to seek</w:t>
      </w:r>
      <w:r w:rsidR="00637BD5">
        <w:rPr>
          <w:rFonts w:eastAsia="Arial"/>
          <w:lang w:eastAsia="zh-CN"/>
        </w:rPr>
        <w:t>ing</w:t>
      </w:r>
      <w:r>
        <w:rPr>
          <w:rFonts w:eastAsia="Arial"/>
          <w:lang w:eastAsia="zh-CN"/>
        </w:rPr>
        <w:t xml:space="preserve"> into to “lighten” the effort and see a few alternatives proposed here.</w:t>
      </w:r>
    </w:p>
    <w:p w14:paraId="2A19B455" w14:textId="3727F64C" w:rsidR="00881953" w:rsidRDefault="00881953" w:rsidP="003C6F09">
      <w:pPr>
        <w:spacing w:after="0"/>
        <w:rPr>
          <w:rFonts w:eastAsia="Arial"/>
          <w:lang w:eastAsia="zh-CN"/>
        </w:rPr>
      </w:pPr>
    </w:p>
    <w:p w14:paraId="1F313B82" w14:textId="7210F840" w:rsidR="00034E7E" w:rsidRDefault="00881953" w:rsidP="001D7E41">
      <w:pPr>
        <w:spacing w:after="0"/>
        <w:rPr>
          <w:rFonts w:eastAsia="Arial"/>
          <w:b/>
          <w:bCs/>
          <w:lang w:eastAsia="zh-CN"/>
        </w:rPr>
      </w:pPr>
      <w:r w:rsidRPr="00881953">
        <w:rPr>
          <w:rFonts w:eastAsia="Arial"/>
          <w:b/>
          <w:bCs/>
          <w:lang w:eastAsia="zh-CN"/>
        </w:rPr>
        <w:t xml:space="preserve">Proposal for </w:t>
      </w:r>
      <w:r w:rsidR="00A65C1B">
        <w:rPr>
          <w:rFonts w:eastAsia="Arial"/>
          <w:b/>
          <w:bCs/>
          <w:lang w:eastAsia="zh-CN"/>
        </w:rPr>
        <w:t>Rel-19 simplification of intra-band ULCA related specification:</w:t>
      </w:r>
    </w:p>
    <w:p w14:paraId="1010A890" w14:textId="763E8B9F" w:rsidR="00A65C1B" w:rsidRDefault="00A65C1B">
      <w:pPr>
        <w:pStyle w:val="ListParagraph"/>
        <w:numPr>
          <w:ilvl w:val="0"/>
          <w:numId w:val="31"/>
        </w:numPr>
        <w:spacing w:after="0"/>
        <w:ind w:firstLineChars="0"/>
        <w:rPr>
          <w:rFonts w:eastAsia="Arial"/>
          <w:b/>
          <w:bCs/>
          <w:lang w:eastAsia="zh-CN"/>
        </w:rPr>
      </w:pPr>
      <w:r>
        <w:rPr>
          <w:rFonts w:eastAsia="Arial"/>
          <w:b/>
          <w:bCs/>
          <w:lang w:eastAsia="zh-CN"/>
        </w:rPr>
        <w:t xml:space="preserve">Scope: contiguous and non-contiguous intra-band ULCA UL configuration for </w:t>
      </w:r>
      <w:r w:rsidR="00C85F89">
        <w:rPr>
          <w:rFonts w:eastAsia="Arial"/>
          <w:b/>
          <w:bCs/>
          <w:lang w:eastAsia="zh-CN"/>
        </w:rPr>
        <w:t>intra and inter-band DL CA (both IMD and triple beat).</w:t>
      </w:r>
    </w:p>
    <w:p w14:paraId="2184290B" w14:textId="7A38BB21" w:rsidR="00C85F89" w:rsidRDefault="00C85F89">
      <w:pPr>
        <w:pStyle w:val="ListParagraph"/>
        <w:numPr>
          <w:ilvl w:val="0"/>
          <w:numId w:val="31"/>
        </w:numPr>
        <w:spacing w:after="0"/>
        <w:ind w:firstLineChars="0"/>
        <w:rPr>
          <w:rFonts w:eastAsia="Arial"/>
          <w:b/>
          <w:bCs/>
          <w:lang w:eastAsia="zh-CN"/>
        </w:rPr>
      </w:pPr>
      <w:r>
        <w:rPr>
          <w:rFonts w:eastAsia="Arial"/>
          <w:b/>
          <w:bCs/>
          <w:lang w:eastAsia="zh-CN"/>
        </w:rPr>
        <w:t>Rel-19 Alternatives:</w:t>
      </w:r>
    </w:p>
    <w:p w14:paraId="34B7AD63" w14:textId="3D13645C" w:rsidR="00C85F89" w:rsidRDefault="00C85F89">
      <w:pPr>
        <w:pStyle w:val="ListParagraph"/>
        <w:numPr>
          <w:ilvl w:val="1"/>
          <w:numId w:val="31"/>
        </w:numPr>
        <w:spacing w:after="0"/>
        <w:ind w:firstLineChars="0"/>
        <w:rPr>
          <w:rFonts w:eastAsia="Arial"/>
          <w:b/>
          <w:bCs/>
          <w:lang w:eastAsia="zh-CN"/>
        </w:rPr>
      </w:pPr>
      <w:r>
        <w:rPr>
          <w:rFonts w:eastAsia="Arial"/>
          <w:b/>
          <w:bCs/>
          <w:lang w:eastAsia="zh-CN"/>
        </w:rPr>
        <w:t>Keep a</w:t>
      </w:r>
      <w:r w:rsidR="00637BD5">
        <w:rPr>
          <w:rFonts w:eastAsia="Arial"/>
          <w:b/>
          <w:bCs/>
          <w:lang w:eastAsia="zh-CN"/>
        </w:rPr>
        <w:t>s-</w:t>
      </w:r>
      <w:r>
        <w:rPr>
          <w:rFonts w:eastAsia="Arial"/>
          <w:b/>
          <w:bCs/>
          <w:lang w:eastAsia="zh-CN"/>
        </w:rPr>
        <w:t>is in spec as most of cases are covered and some history is built since Rel-17. There are more test points that can be removed in single CC UL (often a second unnecessary test point)</w:t>
      </w:r>
    </w:p>
    <w:p w14:paraId="445A97DB" w14:textId="4C413C9E" w:rsidR="00C85F89" w:rsidRDefault="00C85F89">
      <w:pPr>
        <w:pStyle w:val="ListParagraph"/>
        <w:numPr>
          <w:ilvl w:val="1"/>
          <w:numId w:val="31"/>
        </w:numPr>
        <w:spacing w:after="0"/>
        <w:ind w:firstLineChars="0"/>
        <w:rPr>
          <w:rFonts w:eastAsia="Arial"/>
          <w:b/>
          <w:bCs/>
          <w:lang w:eastAsia="zh-CN"/>
        </w:rPr>
      </w:pPr>
      <w:r>
        <w:rPr>
          <w:rFonts w:eastAsia="Arial"/>
          <w:b/>
          <w:bCs/>
          <w:lang w:eastAsia="zh-CN"/>
        </w:rPr>
        <w:t>Remove from specification and test but keep into TR (does not save work in RAN4 but does for RAN5)</w:t>
      </w:r>
    </w:p>
    <w:p w14:paraId="7DBF5E66" w14:textId="2BFDEF65" w:rsidR="00C85F89" w:rsidRDefault="00C85F89">
      <w:pPr>
        <w:pStyle w:val="ListParagraph"/>
        <w:numPr>
          <w:ilvl w:val="1"/>
          <w:numId w:val="31"/>
        </w:numPr>
        <w:spacing w:after="0"/>
        <w:ind w:firstLineChars="0"/>
        <w:rPr>
          <w:rFonts w:eastAsia="Arial"/>
          <w:b/>
          <w:bCs/>
          <w:lang w:eastAsia="zh-CN"/>
        </w:rPr>
      </w:pPr>
      <w:r>
        <w:rPr>
          <w:rFonts w:eastAsia="Arial"/>
          <w:b/>
          <w:bCs/>
          <w:lang w:eastAsia="zh-CN"/>
        </w:rPr>
        <w:lastRenderedPageBreak/>
        <w:t>Have a thorough generic study in a TR that can be used as a reference by proponents to ga</w:t>
      </w:r>
      <w:r w:rsidR="00637BD5">
        <w:rPr>
          <w:rFonts w:eastAsia="Arial"/>
          <w:b/>
          <w:bCs/>
          <w:lang w:eastAsia="zh-CN"/>
        </w:rPr>
        <w:t>u</w:t>
      </w:r>
      <w:r>
        <w:rPr>
          <w:rFonts w:eastAsia="Arial"/>
          <w:b/>
          <w:bCs/>
          <w:lang w:eastAsia="zh-CN"/>
        </w:rPr>
        <w:t>ge the benefit of such a combination and also assess potential band protection issues.</w:t>
      </w:r>
    </w:p>
    <w:p w14:paraId="757C80CA" w14:textId="47999E88" w:rsidR="00C85F89" w:rsidRDefault="00C85F89">
      <w:pPr>
        <w:pStyle w:val="ListParagraph"/>
        <w:numPr>
          <w:ilvl w:val="1"/>
          <w:numId w:val="31"/>
        </w:numPr>
        <w:spacing w:after="0"/>
        <w:ind w:firstLineChars="0"/>
        <w:rPr>
          <w:rFonts w:eastAsia="Arial"/>
          <w:b/>
          <w:bCs/>
          <w:lang w:eastAsia="zh-CN"/>
        </w:rPr>
      </w:pPr>
      <w:r>
        <w:rPr>
          <w:rFonts w:eastAsia="Arial"/>
          <w:b/>
          <w:bCs/>
          <w:lang w:eastAsia="zh-CN"/>
        </w:rPr>
        <w:t>Remove altogether with a disclaimer in the specification as to the achievable performance of such band combinations.</w:t>
      </w:r>
    </w:p>
    <w:p w14:paraId="6B63B4F3" w14:textId="655F06AE" w:rsidR="00C85F89" w:rsidRDefault="00C85F89">
      <w:pPr>
        <w:pStyle w:val="ListParagraph"/>
        <w:numPr>
          <w:ilvl w:val="1"/>
          <w:numId w:val="31"/>
        </w:numPr>
        <w:spacing w:after="0"/>
        <w:ind w:firstLineChars="0"/>
        <w:rPr>
          <w:rFonts w:eastAsia="Arial"/>
          <w:b/>
          <w:bCs/>
          <w:lang w:eastAsia="zh-CN"/>
        </w:rPr>
      </w:pPr>
      <w:r>
        <w:rPr>
          <w:rFonts w:eastAsia="Arial"/>
          <w:b/>
          <w:bCs/>
          <w:lang w:eastAsia="zh-CN"/>
        </w:rPr>
        <w:t>Others not precluded…</w:t>
      </w:r>
    </w:p>
    <w:p w14:paraId="6B0671F7" w14:textId="77777777" w:rsidR="00BD1867" w:rsidRDefault="00C85F89">
      <w:pPr>
        <w:pStyle w:val="ListParagraph"/>
        <w:numPr>
          <w:ilvl w:val="0"/>
          <w:numId w:val="31"/>
        </w:numPr>
        <w:spacing w:after="0"/>
        <w:ind w:firstLineChars="0"/>
        <w:rPr>
          <w:rFonts w:eastAsia="Arial"/>
          <w:b/>
          <w:bCs/>
          <w:lang w:eastAsia="zh-CN"/>
        </w:rPr>
      </w:pPr>
      <w:r>
        <w:rPr>
          <w:rFonts w:eastAsia="Arial"/>
          <w:b/>
          <w:bCs/>
          <w:lang w:eastAsia="zh-CN"/>
        </w:rPr>
        <w:t>This assumes that</w:t>
      </w:r>
      <w:r w:rsidR="00BD1867">
        <w:rPr>
          <w:rFonts w:eastAsia="Arial"/>
          <w:b/>
          <w:bCs/>
          <w:lang w:eastAsia="zh-CN"/>
        </w:rPr>
        <w:t>:</w:t>
      </w:r>
    </w:p>
    <w:p w14:paraId="24FECBC9" w14:textId="24F0343B" w:rsidR="00C85F89" w:rsidRDefault="00BD1867">
      <w:pPr>
        <w:pStyle w:val="ListParagraph"/>
        <w:numPr>
          <w:ilvl w:val="1"/>
          <w:numId w:val="31"/>
        </w:numPr>
        <w:spacing w:after="0"/>
        <w:ind w:firstLineChars="0"/>
        <w:rPr>
          <w:rFonts w:eastAsia="Arial"/>
          <w:b/>
          <w:bCs/>
          <w:lang w:eastAsia="zh-CN"/>
        </w:rPr>
      </w:pPr>
      <w:r>
        <w:rPr>
          <w:rFonts w:eastAsia="Arial"/>
          <w:b/>
          <w:bCs/>
          <w:lang w:eastAsia="zh-CN"/>
        </w:rPr>
        <w:t>T</w:t>
      </w:r>
      <w:r w:rsidR="00C85F89">
        <w:rPr>
          <w:rFonts w:eastAsia="Arial"/>
          <w:b/>
          <w:bCs/>
          <w:lang w:eastAsia="zh-CN"/>
        </w:rPr>
        <w:t>his extra work will save more in the future</w:t>
      </w:r>
      <w:r>
        <w:rPr>
          <w:rFonts w:eastAsia="Arial"/>
          <w:b/>
          <w:bCs/>
          <w:lang w:eastAsia="zh-CN"/>
        </w:rPr>
        <w:t>.</w:t>
      </w:r>
    </w:p>
    <w:p w14:paraId="1C9AD4CC" w14:textId="514AE433" w:rsidR="00BD1867" w:rsidRDefault="00BD1867">
      <w:pPr>
        <w:pStyle w:val="ListParagraph"/>
        <w:numPr>
          <w:ilvl w:val="1"/>
          <w:numId w:val="31"/>
        </w:numPr>
        <w:spacing w:after="0"/>
        <w:ind w:firstLineChars="0"/>
        <w:rPr>
          <w:rFonts w:eastAsia="Arial"/>
          <w:b/>
          <w:bCs/>
          <w:lang w:eastAsia="zh-CN"/>
        </w:rPr>
      </w:pPr>
      <w:r>
        <w:rPr>
          <w:rFonts w:eastAsia="Arial"/>
          <w:b/>
          <w:bCs/>
          <w:lang w:eastAsia="zh-CN"/>
        </w:rPr>
        <w:t>This will not create bad press in the field for the UE behavior under such configurations</w:t>
      </w:r>
    </w:p>
    <w:p w14:paraId="27D6610A" w14:textId="6EE3B8F5" w:rsidR="00BD1867" w:rsidRPr="00BD1867" w:rsidRDefault="00BD1867">
      <w:pPr>
        <w:pStyle w:val="ListParagraph"/>
        <w:numPr>
          <w:ilvl w:val="1"/>
          <w:numId w:val="31"/>
        </w:numPr>
        <w:spacing w:after="0"/>
        <w:ind w:firstLineChars="0"/>
        <w:rPr>
          <w:rFonts w:eastAsia="Arial"/>
          <w:b/>
          <w:bCs/>
          <w:lang w:eastAsia="zh-CN"/>
        </w:rPr>
      </w:pPr>
      <w:r>
        <w:rPr>
          <w:rFonts w:eastAsia="Arial"/>
          <w:b/>
          <w:bCs/>
          <w:lang w:eastAsia="zh-CN"/>
        </w:rPr>
        <w:t>This will not be</w:t>
      </w:r>
      <w:r w:rsidR="00637BD5">
        <w:rPr>
          <w:rFonts w:eastAsia="Arial"/>
          <w:b/>
          <w:bCs/>
          <w:lang w:eastAsia="zh-CN"/>
        </w:rPr>
        <w:t xml:space="preserve"> a</w:t>
      </w:r>
      <w:r>
        <w:rPr>
          <w:rFonts w:eastAsia="Arial"/>
          <w:b/>
          <w:bCs/>
          <w:lang w:eastAsia="zh-CN"/>
        </w:rPr>
        <w:t xml:space="preserve"> “free lunch” in 3GPP to create even more questionable UL configurations like </w:t>
      </w:r>
      <w:r w:rsidRPr="00BD1867">
        <w:rPr>
          <w:rFonts w:eastAsia="Arial"/>
          <w:b/>
          <w:bCs/>
          <w:lang w:eastAsia="zh-CN"/>
        </w:rPr>
        <w:t>3UL</w:t>
      </w:r>
      <w:r>
        <w:rPr>
          <w:rFonts w:eastAsia="Arial"/>
          <w:b/>
          <w:bCs/>
          <w:lang w:eastAsia="zh-CN"/>
        </w:rPr>
        <w:t xml:space="preserve"> </w:t>
      </w:r>
      <w:r w:rsidR="007B1CE8">
        <w:rPr>
          <w:rFonts w:eastAsia="Arial"/>
          <w:b/>
          <w:bCs/>
          <w:lang w:eastAsia="zh-CN"/>
        </w:rPr>
        <w:t xml:space="preserve">FR1 </w:t>
      </w:r>
      <w:r>
        <w:rPr>
          <w:rFonts w:eastAsia="Arial"/>
          <w:b/>
          <w:bCs/>
          <w:lang w:eastAsia="zh-CN"/>
        </w:rPr>
        <w:t>band</w:t>
      </w:r>
      <w:r w:rsidR="00553048">
        <w:rPr>
          <w:rFonts w:eastAsia="Arial"/>
          <w:b/>
          <w:bCs/>
          <w:lang w:eastAsia="zh-CN"/>
        </w:rPr>
        <w:t>s</w:t>
      </w:r>
      <w:r>
        <w:rPr>
          <w:rFonts w:eastAsia="Arial"/>
          <w:b/>
          <w:bCs/>
          <w:lang w:eastAsia="zh-CN"/>
        </w:rPr>
        <w:t xml:space="preserve"> or 3</w:t>
      </w:r>
      <w:r w:rsidRPr="00BD1867">
        <w:rPr>
          <w:rFonts w:eastAsia="Arial"/>
          <w:b/>
          <w:bCs/>
          <w:lang w:eastAsia="zh-CN"/>
        </w:rPr>
        <w:t>CC intra-band</w:t>
      </w:r>
      <w:r>
        <w:rPr>
          <w:rFonts w:eastAsia="Arial"/>
          <w:b/>
          <w:bCs/>
          <w:lang w:eastAsia="zh-CN"/>
        </w:rPr>
        <w:t xml:space="preserve"> UL that will not be implemented because they are too complex to design for and have questionable performance in the field. </w:t>
      </w:r>
    </w:p>
    <w:p w14:paraId="3A1423CF" w14:textId="5DD5410B" w:rsidR="006C0252" w:rsidRPr="00343AA7" w:rsidRDefault="006C0252" w:rsidP="00476DF4">
      <w:pPr>
        <w:pStyle w:val="Heading1"/>
        <w:numPr>
          <w:ilvl w:val="0"/>
          <w:numId w:val="1"/>
        </w:numPr>
        <w:ind w:left="567" w:hanging="567"/>
      </w:pPr>
      <w:r>
        <w:t>Conclusion</w:t>
      </w:r>
    </w:p>
    <w:p w14:paraId="0677A795" w14:textId="089A5280" w:rsidR="00F81A91" w:rsidRDefault="006C0252" w:rsidP="00E30194">
      <w:r>
        <w:t xml:space="preserve">In this contribution, </w:t>
      </w:r>
      <w:r w:rsidR="00E5571A">
        <w:t xml:space="preserve">we </w:t>
      </w:r>
      <w:r w:rsidR="00380A90">
        <w:t>analy</w:t>
      </w:r>
      <w:r w:rsidR="003434F8">
        <w:t>z</w:t>
      </w:r>
      <w:r w:rsidR="00380A90">
        <w:t>ed wideband and low noise interference measurements for a number of significative single CC and ULCA case and made a number of observations and proposals.</w:t>
      </w:r>
    </w:p>
    <w:p w14:paraId="2DA112D3" w14:textId="77777777" w:rsidR="003434F8" w:rsidRPr="00925E38" w:rsidRDefault="003434F8" w:rsidP="003434F8">
      <w:pPr>
        <w:spacing w:after="0"/>
        <w:rPr>
          <w:rFonts w:eastAsia="Arial"/>
          <w:b/>
          <w:bCs/>
          <w:lang w:eastAsia="zh-CN"/>
        </w:rPr>
      </w:pPr>
      <w:r w:rsidRPr="00656915">
        <w:rPr>
          <w:rFonts w:eastAsia="Arial"/>
          <w:b/>
          <w:bCs/>
          <w:lang w:eastAsia="zh-CN"/>
        </w:rPr>
        <w:t>Observations:</w:t>
      </w:r>
    </w:p>
    <w:p w14:paraId="175C0318" w14:textId="77777777" w:rsidR="003434F8" w:rsidRDefault="003434F8" w:rsidP="003434F8">
      <w:pPr>
        <w:pStyle w:val="ListParagraph"/>
        <w:numPr>
          <w:ilvl w:val="0"/>
          <w:numId w:val="24"/>
        </w:numPr>
        <w:spacing w:after="0"/>
        <w:ind w:left="360" w:firstLineChars="0"/>
        <w:rPr>
          <w:rFonts w:eastAsia="Arial"/>
          <w:b/>
          <w:bCs/>
          <w:lang w:eastAsia="zh-CN"/>
        </w:rPr>
      </w:pPr>
      <w:r>
        <w:rPr>
          <w:rFonts w:eastAsia="Arial"/>
          <w:b/>
          <w:bCs/>
          <w:lang w:eastAsia="zh-CN"/>
        </w:rPr>
        <w:t>Whatever the allocation and the back-off assumed, the ULCA related interference range and level is orders of magnitude higher than the single CC case.</w:t>
      </w:r>
    </w:p>
    <w:p w14:paraId="3FEF6C69" w14:textId="77777777" w:rsidR="003434F8" w:rsidRDefault="003434F8" w:rsidP="003434F8">
      <w:pPr>
        <w:pStyle w:val="ListParagraph"/>
        <w:numPr>
          <w:ilvl w:val="0"/>
          <w:numId w:val="24"/>
        </w:numPr>
        <w:spacing w:after="0"/>
        <w:ind w:left="360" w:firstLineChars="0"/>
        <w:rPr>
          <w:rFonts w:eastAsia="Arial"/>
          <w:b/>
          <w:bCs/>
          <w:lang w:eastAsia="zh-CN"/>
        </w:rPr>
      </w:pPr>
      <w:r>
        <w:rPr>
          <w:rFonts w:eastAsia="Arial"/>
          <w:b/>
          <w:bCs/>
          <w:lang w:eastAsia="zh-CN"/>
        </w:rPr>
        <w:t xml:space="preserve">For single CC, the interference level and range essentially depend on the TRX impairment level at the input of the PA, while for ULCA it is solely the PA non-linearity behaviour (FW IMD in most case for contiguous ULCA and reverse IMD. </w:t>
      </w:r>
    </w:p>
    <w:p w14:paraId="5F1ED6ED" w14:textId="77777777" w:rsidR="003434F8" w:rsidRDefault="003434F8" w:rsidP="003434F8">
      <w:pPr>
        <w:pStyle w:val="ListParagraph"/>
        <w:numPr>
          <w:ilvl w:val="0"/>
          <w:numId w:val="30"/>
        </w:numPr>
        <w:spacing w:after="0"/>
        <w:ind w:firstLineChars="0"/>
        <w:rPr>
          <w:rFonts w:eastAsia="Arial"/>
          <w:b/>
          <w:bCs/>
          <w:lang w:eastAsia="zh-CN"/>
        </w:rPr>
      </w:pPr>
      <w:r>
        <w:rPr>
          <w:rFonts w:eastAsia="Arial"/>
          <w:b/>
          <w:bCs/>
          <w:lang w:eastAsia="zh-CN"/>
        </w:rPr>
        <w:t>Single CC measurement and test is not representative of the ULCA behavior</w:t>
      </w:r>
    </w:p>
    <w:p w14:paraId="3D2839AF" w14:textId="77777777" w:rsidR="003434F8" w:rsidRPr="008C118D" w:rsidRDefault="003434F8" w:rsidP="003434F8">
      <w:pPr>
        <w:pStyle w:val="ListParagraph"/>
        <w:numPr>
          <w:ilvl w:val="0"/>
          <w:numId w:val="30"/>
        </w:numPr>
        <w:spacing w:after="0"/>
        <w:ind w:firstLineChars="0"/>
        <w:rPr>
          <w:rFonts w:eastAsia="Arial"/>
          <w:b/>
          <w:bCs/>
          <w:lang w:eastAsia="zh-CN"/>
        </w:rPr>
      </w:pPr>
      <w:r>
        <w:rPr>
          <w:rFonts w:eastAsia="Arial"/>
          <w:b/>
          <w:bCs/>
          <w:lang w:eastAsia="zh-CN"/>
        </w:rPr>
        <w:t>TDD UL cross band MSD is usually worse than FDD UL as fully allocated spectrum decays less rapidly than FDD allocated RB and its image IMDs and duplexers often provide higher rejection.</w:t>
      </w:r>
    </w:p>
    <w:p w14:paraId="4B39C484" w14:textId="77777777" w:rsidR="003434F8" w:rsidRDefault="003434F8" w:rsidP="003434F8">
      <w:pPr>
        <w:pStyle w:val="ListParagraph"/>
        <w:numPr>
          <w:ilvl w:val="0"/>
          <w:numId w:val="24"/>
        </w:numPr>
        <w:spacing w:after="0"/>
        <w:ind w:left="360" w:firstLineChars="0"/>
        <w:rPr>
          <w:rFonts w:eastAsia="Arial"/>
          <w:b/>
          <w:bCs/>
          <w:lang w:eastAsia="zh-CN"/>
        </w:rPr>
      </w:pPr>
      <w:r>
        <w:rPr>
          <w:rFonts w:eastAsia="Arial"/>
          <w:b/>
          <w:bCs/>
          <w:lang w:eastAsia="zh-CN"/>
        </w:rPr>
        <w:t>As illustrated in Figure 9 (left) below, the fully allocated no MPR suggested allocation for contiguous ULCA has a similar interference level and BW than the current 1RB+1RB once integrated other 5MHz (+6.5dB).</w:t>
      </w:r>
    </w:p>
    <w:p w14:paraId="0234E2E9" w14:textId="77777777" w:rsidR="003434F8" w:rsidRDefault="003434F8" w:rsidP="003434F8">
      <w:pPr>
        <w:pStyle w:val="ListParagraph"/>
        <w:numPr>
          <w:ilvl w:val="0"/>
          <w:numId w:val="24"/>
        </w:numPr>
        <w:spacing w:after="0"/>
        <w:ind w:left="360" w:firstLineChars="0"/>
        <w:rPr>
          <w:rFonts w:eastAsia="Arial"/>
          <w:b/>
          <w:bCs/>
          <w:lang w:eastAsia="zh-CN"/>
        </w:rPr>
      </w:pPr>
      <w:r>
        <w:rPr>
          <w:rFonts w:eastAsia="Arial"/>
          <w:b/>
          <w:bCs/>
          <w:lang w:eastAsia="zh-CN"/>
        </w:rPr>
        <w:t>As illustrated in Figure 9 (right) below, the fully allocated no MPR suggested allocation for non-contiguous ULCA has a larger interference level and BW than the current 1RB+1RB once integrated other 5MHz (+6.5dB).</w:t>
      </w:r>
    </w:p>
    <w:p w14:paraId="41F1A7C9" w14:textId="77777777" w:rsidR="003434F8" w:rsidRDefault="003434F8" w:rsidP="003434F8">
      <w:pPr>
        <w:pStyle w:val="ListParagraph"/>
        <w:numPr>
          <w:ilvl w:val="0"/>
          <w:numId w:val="24"/>
        </w:numPr>
        <w:spacing w:after="0"/>
        <w:ind w:left="360" w:firstLineChars="0"/>
        <w:rPr>
          <w:rFonts w:eastAsia="Arial"/>
          <w:b/>
          <w:bCs/>
          <w:lang w:eastAsia="zh-CN"/>
        </w:rPr>
      </w:pPr>
      <w:r>
        <w:rPr>
          <w:rFonts w:eastAsia="Arial"/>
          <w:b/>
          <w:bCs/>
          <w:lang w:eastAsia="zh-CN"/>
        </w:rPr>
        <w:t>On top of not having the benefit in lowering the potential MSD the suggested fully allocated condition for ULCA requires simulations to integrate the spectrum shape while the 1RB+1RB condition allows a direct calculation based on IMD decay from a known IMD3 and/or IMD5 level.</w:t>
      </w:r>
    </w:p>
    <w:p w14:paraId="6EBEAB20" w14:textId="77777777" w:rsidR="003434F8" w:rsidRDefault="003434F8" w:rsidP="003434F8">
      <w:pPr>
        <w:pStyle w:val="ListParagraph"/>
        <w:numPr>
          <w:ilvl w:val="0"/>
          <w:numId w:val="24"/>
        </w:numPr>
        <w:spacing w:after="0"/>
        <w:ind w:left="360" w:firstLineChars="0"/>
        <w:rPr>
          <w:rFonts w:eastAsia="Arial"/>
          <w:b/>
          <w:bCs/>
          <w:lang w:eastAsia="zh-CN"/>
        </w:rPr>
      </w:pPr>
      <w:r>
        <w:rPr>
          <w:rFonts w:eastAsia="Arial"/>
          <w:b/>
          <w:bCs/>
          <w:lang w:eastAsia="zh-CN"/>
        </w:rPr>
        <w:t>For CA_n40-n41C DL with n41C UL there is no benefit to using a fully allocated UL configuration as in the ACLR1 region and integrating more interference BW the MSD will still be significant and even band n40 coexistence is a challenge.</w:t>
      </w:r>
    </w:p>
    <w:p w14:paraId="23B7EB0E" w14:textId="77777777" w:rsidR="003434F8" w:rsidRDefault="003434F8" w:rsidP="003434F8">
      <w:pPr>
        <w:pStyle w:val="ListParagraph"/>
        <w:numPr>
          <w:ilvl w:val="0"/>
          <w:numId w:val="24"/>
        </w:numPr>
        <w:spacing w:after="0"/>
        <w:ind w:left="360" w:firstLineChars="0"/>
        <w:rPr>
          <w:rFonts w:eastAsia="Arial"/>
          <w:b/>
          <w:bCs/>
          <w:lang w:eastAsia="zh-CN"/>
        </w:rPr>
      </w:pPr>
      <w:r>
        <w:rPr>
          <w:rFonts w:eastAsia="Arial"/>
          <w:b/>
          <w:bCs/>
          <w:lang w:eastAsia="zh-CN"/>
        </w:rPr>
        <w:t>For CA_n77(2A) and alike UL configuration, using fully allocated non-contiguous CCs will result in higher MSD which will need simulations to be assessed.</w:t>
      </w:r>
    </w:p>
    <w:p w14:paraId="41C99E62" w14:textId="77777777" w:rsidR="005505C2" w:rsidRDefault="005505C2" w:rsidP="005505C2">
      <w:pPr>
        <w:spacing w:after="0"/>
        <w:rPr>
          <w:rFonts w:eastAsia="Arial"/>
          <w:b/>
          <w:bCs/>
          <w:lang w:eastAsia="zh-CN"/>
        </w:rPr>
      </w:pPr>
    </w:p>
    <w:p w14:paraId="4C9F6EBD" w14:textId="77777777" w:rsidR="003434F8" w:rsidRDefault="003434F8" w:rsidP="003434F8">
      <w:pPr>
        <w:spacing w:after="0"/>
        <w:jc w:val="both"/>
        <w:rPr>
          <w:rFonts w:eastAsia="Arial"/>
          <w:b/>
          <w:bCs/>
          <w:lang w:eastAsia="zh-CN"/>
        </w:rPr>
      </w:pPr>
      <w:r>
        <w:rPr>
          <w:rFonts w:eastAsia="Arial"/>
          <w:b/>
          <w:bCs/>
          <w:lang w:eastAsia="zh-CN"/>
        </w:rPr>
        <w:t>Proposal: If RB allocation (1RB+1RB) is re-considered for intra-band ULCA within an inter-band DL CA, it should be for intra-band TDD ULCA only as for FDD intra-band ULCA, the RB allocation is derived from the REFSENS UL configuration and MPR is not applied. At this point we still do not see a technical justification for this.</w:t>
      </w:r>
    </w:p>
    <w:p w14:paraId="4E568360" w14:textId="67FACF71" w:rsidR="00380A90" w:rsidRDefault="00380A90" w:rsidP="00380A90">
      <w:pPr>
        <w:spacing w:after="0"/>
        <w:jc w:val="both"/>
        <w:rPr>
          <w:rFonts w:eastAsia="Arial"/>
          <w:b/>
          <w:bCs/>
          <w:lang w:eastAsia="zh-CN"/>
        </w:rPr>
      </w:pPr>
    </w:p>
    <w:p w14:paraId="7EFD1E5B" w14:textId="77777777" w:rsidR="003434F8" w:rsidRDefault="003434F8" w:rsidP="003434F8">
      <w:pPr>
        <w:spacing w:after="0"/>
        <w:rPr>
          <w:rFonts w:eastAsia="Arial"/>
          <w:b/>
          <w:bCs/>
          <w:lang w:eastAsia="zh-CN"/>
        </w:rPr>
      </w:pPr>
      <w:r w:rsidRPr="00881953">
        <w:rPr>
          <w:rFonts w:eastAsia="Arial"/>
          <w:b/>
          <w:bCs/>
          <w:lang w:eastAsia="zh-CN"/>
        </w:rPr>
        <w:t xml:space="preserve">Proposal for </w:t>
      </w:r>
      <w:r>
        <w:rPr>
          <w:rFonts w:eastAsia="Arial"/>
          <w:b/>
          <w:bCs/>
          <w:lang w:eastAsia="zh-CN"/>
        </w:rPr>
        <w:t>Rel-19 simplification of intra-band ULCA related specification:</w:t>
      </w:r>
    </w:p>
    <w:p w14:paraId="4F8272DB" w14:textId="77777777" w:rsidR="003434F8" w:rsidRDefault="003434F8" w:rsidP="003434F8">
      <w:pPr>
        <w:pStyle w:val="ListParagraph"/>
        <w:numPr>
          <w:ilvl w:val="0"/>
          <w:numId w:val="31"/>
        </w:numPr>
        <w:spacing w:after="0"/>
        <w:ind w:firstLineChars="0"/>
        <w:rPr>
          <w:rFonts w:eastAsia="Arial"/>
          <w:b/>
          <w:bCs/>
          <w:lang w:eastAsia="zh-CN"/>
        </w:rPr>
      </w:pPr>
      <w:r>
        <w:rPr>
          <w:rFonts w:eastAsia="Arial"/>
          <w:b/>
          <w:bCs/>
          <w:lang w:eastAsia="zh-CN"/>
        </w:rPr>
        <w:t>Scope: contiguous and non-contiguous intra-band ULCA UL configuration for intra and inter-band DL CA (both IMD and triple beat).</w:t>
      </w:r>
    </w:p>
    <w:p w14:paraId="5A7D27AE" w14:textId="77777777" w:rsidR="003434F8" w:rsidRDefault="003434F8" w:rsidP="003434F8">
      <w:pPr>
        <w:pStyle w:val="ListParagraph"/>
        <w:numPr>
          <w:ilvl w:val="0"/>
          <w:numId w:val="31"/>
        </w:numPr>
        <w:spacing w:after="0"/>
        <w:ind w:firstLineChars="0"/>
        <w:rPr>
          <w:rFonts w:eastAsia="Arial"/>
          <w:b/>
          <w:bCs/>
          <w:lang w:eastAsia="zh-CN"/>
        </w:rPr>
      </w:pPr>
      <w:r>
        <w:rPr>
          <w:rFonts w:eastAsia="Arial"/>
          <w:b/>
          <w:bCs/>
          <w:lang w:eastAsia="zh-CN"/>
        </w:rPr>
        <w:t>Rel-19 Alternatives:</w:t>
      </w:r>
    </w:p>
    <w:p w14:paraId="0E681C2D" w14:textId="77777777" w:rsidR="003434F8" w:rsidRDefault="003434F8" w:rsidP="003434F8">
      <w:pPr>
        <w:pStyle w:val="ListParagraph"/>
        <w:numPr>
          <w:ilvl w:val="1"/>
          <w:numId w:val="31"/>
        </w:numPr>
        <w:spacing w:after="0"/>
        <w:ind w:firstLineChars="0"/>
        <w:rPr>
          <w:rFonts w:eastAsia="Arial"/>
          <w:b/>
          <w:bCs/>
          <w:lang w:eastAsia="zh-CN"/>
        </w:rPr>
      </w:pPr>
      <w:r>
        <w:rPr>
          <w:rFonts w:eastAsia="Arial"/>
          <w:b/>
          <w:bCs/>
          <w:lang w:eastAsia="zh-CN"/>
        </w:rPr>
        <w:t>Keep as-is in spec as most of cases are covered and some history is built since Rel-17. There are more test points that can be removed in single CC UL (often a second unnecessary test point)</w:t>
      </w:r>
    </w:p>
    <w:p w14:paraId="4B0D9548" w14:textId="77777777" w:rsidR="003434F8" w:rsidRDefault="003434F8" w:rsidP="003434F8">
      <w:pPr>
        <w:pStyle w:val="ListParagraph"/>
        <w:numPr>
          <w:ilvl w:val="1"/>
          <w:numId w:val="31"/>
        </w:numPr>
        <w:spacing w:after="0"/>
        <w:ind w:firstLineChars="0"/>
        <w:rPr>
          <w:rFonts w:eastAsia="Arial"/>
          <w:b/>
          <w:bCs/>
          <w:lang w:eastAsia="zh-CN"/>
        </w:rPr>
      </w:pPr>
      <w:r>
        <w:rPr>
          <w:rFonts w:eastAsia="Arial"/>
          <w:b/>
          <w:bCs/>
          <w:lang w:eastAsia="zh-CN"/>
        </w:rPr>
        <w:t>Remove from specification and test but keep into TR (does not save work in RAN4 but does for RAN5)</w:t>
      </w:r>
    </w:p>
    <w:p w14:paraId="6324C811" w14:textId="77777777" w:rsidR="003434F8" w:rsidRDefault="003434F8" w:rsidP="003434F8">
      <w:pPr>
        <w:pStyle w:val="ListParagraph"/>
        <w:numPr>
          <w:ilvl w:val="1"/>
          <w:numId w:val="31"/>
        </w:numPr>
        <w:spacing w:after="0"/>
        <w:ind w:firstLineChars="0"/>
        <w:rPr>
          <w:rFonts w:eastAsia="Arial"/>
          <w:b/>
          <w:bCs/>
          <w:lang w:eastAsia="zh-CN"/>
        </w:rPr>
      </w:pPr>
      <w:r>
        <w:rPr>
          <w:rFonts w:eastAsia="Arial"/>
          <w:b/>
          <w:bCs/>
          <w:lang w:eastAsia="zh-CN"/>
        </w:rPr>
        <w:t>Have a thorough generic study in a TR that can be used as a reference by proponents to gauge the benefit of such a combination and also assess potential band protection issues.</w:t>
      </w:r>
    </w:p>
    <w:p w14:paraId="151C1702" w14:textId="77777777" w:rsidR="003434F8" w:rsidRDefault="003434F8" w:rsidP="003434F8">
      <w:pPr>
        <w:pStyle w:val="ListParagraph"/>
        <w:numPr>
          <w:ilvl w:val="1"/>
          <w:numId w:val="31"/>
        </w:numPr>
        <w:spacing w:after="0"/>
        <w:ind w:firstLineChars="0"/>
        <w:rPr>
          <w:rFonts w:eastAsia="Arial"/>
          <w:b/>
          <w:bCs/>
          <w:lang w:eastAsia="zh-CN"/>
        </w:rPr>
      </w:pPr>
      <w:r>
        <w:rPr>
          <w:rFonts w:eastAsia="Arial"/>
          <w:b/>
          <w:bCs/>
          <w:lang w:eastAsia="zh-CN"/>
        </w:rPr>
        <w:t>Remove altogether with a disclaimer in the specification as to the achievable performance of such band combinations.</w:t>
      </w:r>
    </w:p>
    <w:p w14:paraId="71AB719A" w14:textId="77777777" w:rsidR="003434F8" w:rsidRDefault="003434F8" w:rsidP="003434F8">
      <w:pPr>
        <w:pStyle w:val="ListParagraph"/>
        <w:numPr>
          <w:ilvl w:val="1"/>
          <w:numId w:val="31"/>
        </w:numPr>
        <w:spacing w:after="0"/>
        <w:ind w:firstLineChars="0"/>
        <w:rPr>
          <w:rFonts w:eastAsia="Arial"/>
          <w:b/>
          <w:bCs/>
          <w:lang w:eastAsia="zh-CN"/>
        </w:rPr>
      </w:pPr>
      <w:r>
        <w:rPr>
          <w:rFonts w:eastAsia="Arial"/>
          <w:b/>
          <w:bCs/>
          <w:lang w:eastAsia="zh-CN"/>
        </w:rPr>
        <w:t>Others not precluded…</w:t>
      </w:r>
    </w:p>
    <w:p w14:paraId="593224E5" w14:textId="77777777" w:rsidR="003434F8" w:rsidRDefault="003434F8" w:rsidP="003434F8">
      <w:pPr>
        <w:pStyle w:val="ListParagraph"/>
        <w:numPr>
          <w:ilvl w:val="0"/>
          <w:numId w:val="31"/>
        </w:numPr>
        <w:spacing w:after="0"/>
        <w:ind w:firstLineChars="0"/>
        <w:rPr>
          <w:rFonts w:eastAsia="Arial"/>
          <w:b/>
          <w:bCs/>
          <w:lang w:eastAsia="zh-CN"/>
        </w:rPr>
      </w:pPr>
      <w:r>
        <w:rPr>
          <w:rFonts w:eastAsia="Arial"/>
          <w:b/>
          <w:bCs/>
          <w:lang w:eastAsia="zh-CN"/>
        </w:rPr>
        <w:t>This assumes that:</w:t>
      </w:r>
    </w:p>
    <w:p w14:paraId="73BE3A15" w14:textId="77777777" w:rsidR="003434F8" w:rsidRDefault="003434F8" w:rsidP="003434F8">
      <w:pPr>
        <w:pStyle w:val="ListParagraph"/>
        <w:numPr>
          <w:ilvl w:val="1"/>
          <w:numId w:val="31"/>
        </w:numPr>
        <w:spacing w:after="0"/>
        <w:ind w:firstLineChars="0"/>
        <w:rPr>
          <w:rFonts w:eastAsia="Arial"/>
          <w:b/>
          <w:bCs/>
          <w:lang w:eastAsia="zh-CN"/>
        </w:rPr>
      </w:pPr>
      <w:r>
        <w:rPr>
          <w:rFonts w:eastAsia="Arial"/>
          <w:b/>
          <w:bCs/>
          <w:lang w:eastAsia="zh-CN"/>
        </w:rPr>
        <w:t>This extra work will save more in the future.</w:t>
      </w:r>
    </w:p>
    <w:p w14:paraId="63C7301D" w14:textId="77777777" w:rsidR="003434F8" w:rsidRDefault="003434F8" w:rsidP="003434F8">
      <w:pPr>
        <w:pStyle w:val="ListParagraph"/>
        <w:numPr>
          <w:ilvl w:val="1"/>
          <w:numId w:val="31"/>
        </w:numPr>
        <w:spacing w:after="0"/>
        <w:ind w:firstLineChars="0"/>
        <w:rPr>
          <w:rFonts w:eastAsia="Arial"/>
          <w:b/>
          <w:bCs/>
          <w:lang w:eastAsia="zh-CN"/>
        </w:rPr>
      </w:pPr>
      <w:r>
        <w:rPr>
          <w:rFonts w:eastAsia="Arial"/>
          <w:b/>
          <w:bCs/>
          <w:lang w:eastAsia="zh-CN"/>
        </w:rPr>
        <w:t>This will not create bad press in the field for the UE behavior under such configurations</w:t>
      </w:r>
    </w:p>
    <w:p w14:paraId="1BF50C87" w14:textId="1B683622" w:rsidR="00380A90" w:rsidRDefault="003434F8" w:rsidP="003434F8">
      <w:pPr>
        <w:pStyle w:val="ListParagraph"/>
        <w:numPr>
          <w:ilvl w:val="1"/>
          <w:numId w:val="31"/>
        </w:numPr>
        <w:spacing w:after="0"/>
        <w:ind w:firstLineChars="0"/>
        <w:rPr>
          <w:rFonts w:eastAsia="Arial"/>
          <w:b/>
          <w:bCs/>
          <w:lang w:eastAsia="zh-CN"/>
        </w:rPr>
      </w:pPr>
      <w:r>
        <w:rPr>
          <w:rFonts w:eastAsia="Arial"/>
          <w:b/>
          <w:bCs/>
          <w:lang w:eastAsia="zh-CN"/>
        </w:rPr>
        <w:t xml:space="preserve">This will not be a “free lunch” in 3GPP to create even more questionable UL configurations like </w:t>
      </w:r>
      <w:r w:rsidRPr="00BD1867">
        <w:rPr>
          <w:rFonts w:eastAsia="Arial"/>
          <w:b/>
          <w:bCs/>
          <w:lang w:eastAsia="zh-CN"/>
        </w:rPr>
        <w:t>3UL</w:t>
      </w:r>
      <w:r>
        <w:rPr>
          <w:rFonts w:eastAsia="Arial"/>
          <w:b/>
          <w:bCs/>
          <w:lang w:eastAsia="zh-CN"/>
        </w:rPr>
        <w:t xml:space="preserve"> FR1 bands or 3</w:t>
      </w:r>
      <w:r w:rsidRPr="00BD1867">
        <w:rPr>
          <w:rFonts w:eastAsia="Arial"/>
          <w:b/>
          <w:bCs/>
          <w:lang w:eastAsia="zh-CN"/>
        </w:rPr>
        <w:t>CC intra-band</w:t>
      </w:r>
      <w:r>
        <w:rPr>
          <w:rFonts w:eastAsia="Arial"/>
          <w:b/>
          <w:bCs/>
          <w:lang w:eastAsia="zh-CN"/>
        </w:rPr>
        <w:t xml:space="preserve"> UL that will not be implemented because they are too complex to design for and have questionable performance in the field.</w:t>
      </w:r>
    </w:p>
    <w:p w14:paraId="07F1784B" w14:textId="55A082BA" w:rsidR="003434F8" w:rsidRPr="003434F8" w:rsidRDefault="003434F8" w:rsidP="003434F8">
      <w:pPr>
        <w:tabs>
          <w:tab w:val="left" w:pos="2235"/>
        </w:tabs>
        <w:rPr>
          <w:rFonts w:eastAsia="Arial"/>
          <w:lang w:eastAsia="zh-CN"/>
        </w:rPr>
      </w:pPr>
      <w:r>
        <w:rPr>
          <w:rFonts w:eastAsia="Arial"/>
          <w:lang w:eastAsia="zh-CN"/>
        </w:rPr>
        <w:tab/>
      </w:r>
    </w:p>
    <w:p w14:paraId="706A035B" w14:textId="4520F24F" w:rsidR="00C05662" w:rsidRDefault="00F2750F" w:rsidP="00DA1597">
      <w:pPr>
        <w:pStyle w:val="Heading1"/>
        <w:numPr>
          <w:ilvl w:val="0"/>
          <w:numId w:val="1"/>
        </w:numPr>
        <w:ind w:left="567" w:hanging="567"/>
      </w:pPr>
      <w:r>
        <w:lastRenderedPageBreak/>
        <w:t>References</w:t>
      </w:r>
    </w:p>
    <w:p w14:paraId="3E08B08E" w14:textId="77777777" w:rsidR="00EC5D8A" w:rsidRDefault="00EC5D8A" w:rsidP="00EC5D8A">
      <w:pPr>
        <w:spacing w:after="0"/>
      </w:pPr>
      <w:r>
        <w:t>[1] R4-2404180 Reconsideration on MSD requirements with intra-band contiguous UL CA, Apple, RAN4#110b</w:t>
      </w:r>
    </w:p>
    <w:p w14:paraId="6E6A1E29" w14:textId="77777777" w:rsidR="00EC5D8A" w:rsidRDefault="00EC5D8A" w:rsidP="00EC5D8A">
      <w:pPr>
        <w:spacing w:after="0"/>
      </w:pPr>
      <w:r>
        <w:t>[2] R4-2406676 WF on MSD requirements with intra-band contiguous ULCA, Apple, RAN4#110b</w:t>
      </w:r>
    </w:p>
    <w:p w14:paraId="2FC89EBD" w14:textId="750C9796" w:rsidR="00453E3B" w:rsidRPr="00EC5D8A" w:rsidRDefault="00EC5D8A" w:rsidP="00EC5D8A">
      <w:pPr>
        <w:spacing w:after="0"/>
      </w:pPr>
      <w:r>
        <w:t xml:space="preserve">[3] </w:t>
      </w:r>
      <w:r w:rsidRPr="00EC5D8A">
        <w:t>R4-2407372</w:t>
      </w:r>
      <w:r>
        <w:t xml:space="preserve"> </w:t>
      </w:r>
      <w:r w:rsidRPr="00EC5D8A">
        <w:t>On UL configuration for intra-band ULCA IMDs, Skyworks Solutions Inc.</w:t>
      </w:r>
      <w:r>
        <w:t>, RAN4#111</w:t>
      </w:r>
    </w:p>
    <w:sectPr w:rsidR="00453E3B" w:rsidRPr="00EC5D8A" w:rsidSect="007A443E">
      <w:footnotePr>
        <w:numRestart w:val="eachSect"/>
      </w:footnotePr>
      <w:pgSz w:w="11907" w:h="16840" w:code="9"/>
      <w:pgMar w:top="720" w:right="720" w:bottom="720"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D39BCB" w14:textId="77777777" w:rsidR="004335CA" w:rsidRPr="00A10429" w:rsidRDefault="004335CA" w:rsidP="0064547A">
      <w:pPr>
        <w:spacing w:after="0"/>
        <w:rPr>
          <w:kern w:val="2"/>
          <w:lang w:eastAsia="zh-CN"/>
        </w:rPr>
      </w:pPr>
      <w:r>
        <w:separator/>
      </w:r>
    </w:p>
  </w:endnote>
  <w:endnote w:type="continuationSeparator" w:id="0">
    <w:p w14:paraId="0675F018" w14:textId="77777777" w:rsidR="004335CA" w:rsidRPr="00A10429" w:rsidRDefault="004335CA" w:rsidP="0064547A">
      <w:pPr>
        <w:spacing w:after="0"/>
        <w:rPr>
          <w:kern w:val="2"/>
          <w:lang w:eastAsia="zh-CN"/>
        </w:rPr>
      </w:pPr>
      <w:r>
        <w:continuationSeparator/>
      </w:r>
    </w:p>
  </w:endnote>
  <w:endnote w:type="continuationNotice" w:id="1">
    <w:p w14:paraId="121104D2" w14:textId="77777777" w:rsidR="004335CA" w:rsidRDefault="004335C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0" w:usb3="00000000" w:csb0="00000001" w:csb1="00000000"/>
  </w:font>
  <w:font w:name="v4.2.0">
    <w:altName w:val="Times New Roman"/>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Intel Clear">
    <w:altName w:val="Sylfaen"/>
    <w:charset w:val="00"/>
    <w:family w:val="swiss"/>
    <w:pitch w:val="default"/>
    <w:sig w:usb0="00000000" w:usb1="00000000" w:usb2="00000028"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2756BF" w14:textId="77777777" w:rsidR="004335CA" w:rsidRPr="00A10429" w:rsidRDefault="004335CA" w:rsidP="0064547A">
      <w:pPr>
        <w:spacing w:after="0"/>
        <w:rPr>
          <w:kern w:val="2"/>
          <w:lang w:eastAsia="zh-CN"/>
        </w:rPr>
      </w:pPr>
      <w:r>
        <w:separator/>
      </w:r>
    </w:p>
  </w:footnote>
  <w:footnote w:type="continuationSeparator" w:id="0">
    <w:p w14:paraId="4565A7C2" w14:textId="77777777" w:rsidR="004335CA" w:rsidRPr="00A10429" w:rsidRDefault="004335CA" w:rsidP="0064547A">
      <w:pPr>
        <w:spacing w:after="0"/>
        <w:rPr>
          <w:kern w:val="2"/>
          <w:lang w:eastAsia="zh-CN"/>
        </w:rPr>
      </w:pPr>
      <w:r>
        <w:continuationSeparator/>
      </w:r>
    </w:p>
  </w:footnote>
  <w:footnote w:type="continuationNotice" w:id="1">
    <w:p w14:paraId="52E46234" w14:textId="77777777" w:rsidR="004335CA" w:rsidRDefault="004335C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NumPar4"/>
      <w:lvlText w:val="%1."/>
      <w:lvlJc w:val="left"/>
      <w:pPr>
        <w:tabs>
          <w:tab w:val="left" w:pos="1492"/>
        </w:tabs>
        <w:ind w:left="1492" w:hanging="360"/>
      </w:pPr>
      <w:rPr>
        <w:rFonts w:cs="Times New Roman"/>
      </w:rPr>
    </w:lvl>
  </w:abstractNum>
  <w:abstractNum w:abstractNumId="1"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18300C6E"/>
    <w:multiLevelType w:val="hybridMultilevel"/>
    <w:tmpl w:val="E3B65A28"/>
    <w:lvl w:ilvl="0" w:tplc="B3DC8878">
      <w:start w:val="2"/>
      <w:numFmt w:val="decimal"/>
      <w:lvlText w:val="%1"/>
      <w:lvlJc w:val="left"/>
      <w:pPr>
        <w:ind w:left="63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58F117E"/>
    <w:multiLevelType w:val="hybridMultilevel"/>
    <w:tmpl w:val="E612C7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82C669D"/>
    <w:multiLevelType w:val="hybridMultilevel"/>
    <w:tmpl w:val="A6523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3D6D83"/>
    <w:multiLevelType w:val="hybridMultilevel"/>
    <w:tmpl w:val="3228A7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5C80964"/>
    <w:multiLevelType w:val="multilevel"/>
    <w:tmpl w:val="35C80964"/>
    <w:lvl w:ilvl="0">
      <w:start w:val="1"/>
      <w:numFmt w:val="decimal"/>
      <w:pStyle w:val="BN"/>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14" w15:restartNumberingAfterBreak="0">
    <w:nsid w:val="424168D9"/>
    <w:multiLevelType w:val="hybridMultilevel"/>
    <w:tmpl w:val="0B5E7C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5"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16" w15:restartNumberingAfterBreak="0">
    <w:nsid w:val="45B27359"/>
    <w:multiLevelType w:val="hybridMultilevel"/>
    <w:tmpl w:val="C6B0E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cs="Times New Roman"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8" w15:restartNumberingAfterBreak="0">
    <w:nsid w:val="4F2D3CBA"/>
    <w:multiLevelType w:val="multilevel"/>
    <w:tmpl w:val="4F2D3CBA"/>
    <w:lvl w:ilvl="0">
      <w:start w:val="1"/>
      <w:numFmt w:val="lowerLetter"/>
      <w:pStyle w:val="BL"/>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534B328A"/>
    <w:multiLevelType w:val="multilevel"/>
    <w:tmpl w:val="534B328A"/>
    <w:lvl w:ilvl="0">
      <w:start w:val="1"/>
      <w:numFmt w:val="decimal"/>
      <w:pStyle w:val="a1"/>
      <w:lvlText w:val="[%1]"/>
      <w:lvlJc w:val="left"/>
      <w:pPr>
        <w:tabs>
          <w:tab w:val="left" w:pos="720"/>
        </w:tabs>
        <w:ind w:left="720" w:hanging="360"/>
      </w:pPr>
      <w:rPr>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56F711EC"/>
    <w:multiLevelType w:val="hybridMultilevel"/>
    <w:tmpl w:val="9918C7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67852F2"/>
    <w:multiLevelType w:val="hybridMultilevel"/>
    <w:tmpl w:val="CBCA935E"/>
    <w:lvl w:ilvl="0" w:tplc="92CE8E9E">
      <w:start w:val="3"/>
      <w:numFmt w:val="bullet"/>
      <w:lvlText w:val=""/>
      <w:lvlJc w:val="left"/>
      <w:pPr>
        <w:ind w:left="720" w:hanging="360"/>
      </w:pPr>
      <w:rPr>
        <w:rFonts w:ascii="Wingdings" w:eastAsia="Arial"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2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708858F6"/>
    <w:multiLevelType w:val="multilevel"/>
    <w:tmpl w:val="708858F6"/>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C981C86"/>
    <w:multiLevelType w:val="hybridMultilevel"/>
    <w:tmpl w:val="150270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94254964">
    <w:abstractNumId w:val="5"/>
  </w:num>
  <w:num w:numId="2" w16cid:durableId="1298339486">
    <w:abstractNumId w:val="3"/>
  </w:num>
  <w:num w:numId="3" w16cid:durableId="730156007">
    <w:abstractNumId w:val="10"/>
  </w:num>
  <w:num w:numId="4" w16cid:durableId="317660584">
    <w:abstractNumId w:val="9"/>
  </w:num>
  <w:num w:numId="5" w16cid:durableId="1858304697">
    <w:abstractNumId w:val="27"/>
  </w:num>
  <w:num w:numId="6" w16cid:durableId="2105563181">
    <w:abstractNumId w:val="2"/>
  </w:num>
  <w:num w:numId="7" w16cid:durableId="633097245">
    <w:abstractNumId w:val="18"/>
  </w:num>
  <w:num w:numId="8" w16cid:durableId="1163470918">
    <w:abstractNumId w:val="12"/>
  </w:num>
  <w:num w:numId="9" w16cid:durableId="255214559">
    <w:abstractNumId w:val="26"/>
  </w:num>
  <w:num w:numId="10" w16cid:durableId="1775591434">
    <w:abstractNumId w:val="28"/>
  </w:num>
  <w:num w:numId="11" w16cid:durableId="1690718188">
    <w:abstractNumId w:val="29"/>
  </w:num>
  <w:num w:numId="12" w16cid:durableId="1051925366">
    <w:abstractNumId w:val="13"/>
  </w:num>
  <w:num w:numId="13" w16cid:durableId="1741057929">
    <w:abstractNumId w:val="15"/>
  </w:num>
  <w:num w:numId="14" w16cid:durableId="232856064">
    <w:abstractNumId w:val="11"/>
  </w:num>
  <w:num w:numId="15" w16cid:durableId="224609546">
    <w:abstractNumId w:val="23"/>
  </w:num>
  <w:num w:numId="16" w16cid:durableId="1767651071">
    <w:abstractNumId w:val="0"/>
  </w:num>
  <w:num w:numId="17" w16cid:durableId="220364000">
    <w:abstractNumId w:val="25"/>
  </w:num>
  <w:num w:numId="18" w16cid:durableId="1462066297">
    <w:abstractNumId w:val="4"/>
  </w:num>
  <w:num w:numId="19" w16cid:durableId="799766590">
    <w:abstractNumId w:val="1"/>
  </w:num>
  <w:num w:numId="20" w16cid:durableId="1479571757">
    <w:abstractNumId w:val="24"/>
  </w:num>
  <w:num w:numId="21" w16cid:durableId="409159420">
    <w:abstractNumId w:val="19"/>
  </w:num>
  <w:num w:numId="22" w16cid:durableId="691032568">
    <w:abstractNumId w:val="17"/>
    <w:lvlOverride w:ilvl="0">
      <w:startOverride w:val="1"/>
    </w:lvlOverride>
  </w:num>
  <w:num w:numId="23" w16cid:durableId="1262377704">
    <w:abstractNumId w:val="20"/>
    <w:lvlOverride w:ilvl="0">
      <w:startOverride w:val="1"/>
    </w:lvlOverride>
  </w:num>
  <w:num w:numId="24" w16cid:durableId="1756246584">
    <w:abstractNumId w:val="21"/>
  </w:num>
  <w:num w:numId="25" w16cid:durableId="1082220731">
    <w:abstractNumId w:val="14"/>
  </w:num>
  <w:num w:numId="26" w16cid:durableId="636423168">
    <w:abstractNumId w:val="30"/>
  </w:num>
  <w:num w:numId="27" w16cid:durableId="6564320">
    <w:abstractNumId w:val="8"/>
  </w:num>
  <w:num w:numId="28" w16cid:durableId="153954394">
    <w:abstractNumId w:val="16"/>
  </w:num>
  <w:num w:numId="29" w16cid:durableId="2089616858">
    <w:abstractNumId w:val="7"/>
  </w:num>
  <w:num w:numId="30" w16cid:durableId="845510772">
    <w:abstractNumId w:val="22"/>
  </w:num>
  <w:num w:numId="31" w16cid:durableId="669603349">
    <w:abstractNumId w:val="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attachedTemplate r:id="rId1"/>
  <w:linkStyles/>
  <w:defaultTabStop w:val="420"/>
  <w:drawingGridHorizontalSpacing w:val="10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455"/>
    <w:rsid w:val="00000BD7"/>
    <w:rsid w:val="00001291"/>
    <w:rsid w:val="0000147A"/>
    <w:rsid w:val="00001698"/>
    <w:rsid w:val="0000283E"/>
    <w:rsid w:val="00002AF8"/>
    <w:rsid w:val="000049B1"/>
    <w:rsid w:val="00004B4A"/>
    <w:rsid w:val="00005055"/>
    <w:rsid w:val="0000532F"/>
    <w:rsid w:val="00005510"/>
    <w:rsid w:val="00005658"/>
    <w:rsid w:val="0000585F"/>
    <w:rsid w:val="00005B65"/>
    <w:rsid w:val="0000664B"/>
    <w:rsid w:val="000066AC"/>
    <w:rsid w:val="000068DA"/>
    <w:rsid w:val="0000695D"/>
    <w:rsid w:val="00007783"/>
    <w:rsid w:val="0000788B"/>
    <w:rsid w:val="00010FCF"/>
    <w:rsid w:val="0001144F"/>
    <w:rsid w:val="0001310A"/>
    <w:rsid w:val="0001335E"/>
    <w:rsid w:val="000134D3"/>
    <w:rsid w:val="000134EA"/>
    <w:rsid w:val="00013C34"/>
    <w:rsid w:val="000142FF"/>
    <w:rsid w:val="0001521F"/>
    <w:rsid w:val="00015662"/>
    <w:rsid w:val="000160F7"/>
    <w:rsid w:val="00016143"/>
    <w:rsid w:val="00016D9E"/>
    <w:rsid w:val="00017375"/>
    <w:rsid w:val="000178B7"/>
    <w:rsid w:val="0002008D"/>
    <w:rsid w:val="000201C7"/>
    <w:rsid w:val="0002199F"/>
    <w:rsid w:val="000224B7"/>
    <w:rsid w:val="00022BF9"/>
    <w:rsid w:val="00023757"/>
    <w:rsid w:val="00023B66"/>
    <w:rsid w:val="00024FC1"/>
    <w:rsid w:val="00025688"/>
    <w:rsid w:val="000256CD"/>
    <w:rsid w:val="000257C7"/>
    <w:rsid w:val="0002624C"/>
    <w:rsid w:val="00026D17"/>
    <w:rsid w:val="0002781C"/>
    <w:rsid w:val="00027F03"/>
    <w:rsid w:val="000308CD"/>
    <w:rsid w:val="000309D5"/>
    <w:rsid w:val="00030CE4"/>
    <w:rsid w:val="00030D2D"/>
    <w:rsid w:val="00031BB2"/>
    <w:rsid w:val="00031F4A"/>
    <w:rsid w:val="0003209A"/>
    <w:rsid w:val="000328AD"/>
    <w:rsid w:val="0003379A"/>
    <w:rsid w:val="00033BBF"/>
    <w:rsid w:val="000346D6"/>
    <w:rsid w:val="000346ED"/>
    <w:rsid w:val="000349F5"/>
    <w:rsid w:val="00034C1F"/>
    <w:rsid w:val="00034E7E"/>
    <w:rsid w:val="000363CC"/>
    <w:rsid w:val="000371E4"/>
    <w:rsid w:val="000406ED"/>
    <w:rsid w:val="00040CD4"/>
    <w:rsid w:val="00041630"/>
    <w:rsid w:val="0004178B"/>
    <w:rsid w:val="00042511"/>
    <w:rsid w:val="00043E81"/>
    <w:rsid w:val="00044C28"/>
    <w:rsid w:val="00044F34"/>
    <w:rsid w:val="00050128"/>
    <w:rsid w:val="000503D5"/>
    <w:rsid w:val="00050E97"/>
    <w:rsid w:val="0005157B"/>
    <w:rsid w:val="00052F5C"/>
    <w:rsid w:val="00053567"/>
    <w:rsid w:val="00053E8E"/>
    <w:rsid w:val="0005451D"/>
    <w:rsid w:val="00054C34"/>
    <w:rsid w:val="00054D46"/>
    <w:rsid w:val="00055967"/>
    <w:rsid w:val="0005655F"/>
    <w:rsid w:val="00056680"/>
    <w:rsid w:val="0005773B"/>
    <w:rsid w:val="0006018C"/>
    <w:rsid w:val="00060E54"/>
    <w:rsid w:val="00060FE3"/>
    <w:rsid w:val="0006130E"/>
    <w:rsid w:val="00061483"/>
    <w:rsid w:val="00062489"/>
    <w:rsid w:val="0006270D"/>
    <w:rsid w:val="0006280E"/>
    <w:rsid w:val="00064870"/>
    <w:rsid w:val="00065D20"/>
    <w:rsid w:val="00065F75"/>
    <w:rsid w:val="00065F76"/>
    <w:rsid w:val="00067448"/>
    <w:rsid w:val="00070CA9"/>
    <w:rsid w:val="0007125D"/>
    <w:rsid w:val="00071F1A"/>
    <w:rsid w:val="000722A2"/>
    <w:rsid w:val="00072DEC"/>
    <w:rsid w:val="00073A13"/>
    <w:rsid w:val="00073F9A"/>
    <w:rsid w:val="0007426D"/>
    <w:rsid w:val="000742F1"/>
    <w:rsid w:val="00075063"/>
    <w:rsid w:val="00075248"/>
    <w:rsid w:val="0007587D"/>
    <w:rsid w:val="00076356"/>
    <w:rsid w:val="00076663"/>
    <w:rsid w:val="000769FE"/>
    <w:rsid w:val="00076B09"/>
    <w:rsid w:val="00076EB1"/>
    <w:rsid w:val="0007702A"/>
    <w:rsid w:val="00077273"/>
    <w:rsid w:val="00080C15"/>
    <w:rsid w:val="00081070"/>
    <w:rsid w:val="00081554"/>
    <w:rsid w:val="00081C11"/>
    <w:rsid w:val="00081CBC"/>
    <w:rsid w:val="00082136"/>
    <w:rsid w:val="0008234B"/>
    <w:rsid w:val="000823EF"/>
    <w:rsid w:val="000826B2"/>
    <w:rsid w:val="00083B89"/>
    <w:rsid w:val="00084AAE"/>
    <w:rsid w:val="000854D2"/>
    <w:rsid w:val="0008756E"/>
    <w:rsid w:val="0009052F"/>
    <w:rsid w:val="00090809"/>
    <w:rsid w:val="00090B61"/>
    <w:rsid w:val="0009138D"/>
    <w:rsid w:val="00091F3C"/>
    <w:rsid w:val="0009283F"/>
    <w:rsid w:val="00092B72"/>
    <w:rsid w:val="00093417"/>
    <w:rsid w:val="00093796"/>
    <w:rsid w:val="00094102"/>
    <w:rsid w:val="00094284"/>
    <w:rsid w:val="00095015"/>
    <w:rsid w:val="000A1AC6"/>
    <w:rsid w:val="000A2857"/>
    <w:rsid w:val="000A290C"/>
    <w:rsid w:val="000A35B5"/>
    <w:rsid w:val="000A37BC"/>
    <w:rsid w:val="000A43A0"/>
    <w:rsid w:val="000A49A8"/>
    <w:rsid w:val="000A67F8"/>
    <w:rsid w:val="000A7AB9"/>
    <w:rsid w:val="000B1F19"/>
    <w:rsid w:val="000B2202"/>
    <w:rsid w:val="000B278F"/>
    <w:rsid w:val="000B3530"/>
    <w:rsid w:val="000B35FA"/>
    <w:rsid w:val="000B3AF7"/>
    <w:rsid w:val="000B43E7"/>
    <w:rsid w:val="000B4AA6"/>
    <w:rsid w:val="000B556B"/>
    <w:rsid w:val="000B5987"/>
    <w:rsid w:val="000B64C3"/>
    <w:rsid w:val="000B6E48"/>
    <w:rsid w:val="000B6E80"/>
    <w:rsid w:val="000B6F80"/>
    <w:rsid w:val="000B7F99"/>
    <w:rsid w:val="000C0420"/>
    <w:rsid w:val="000C07C0"/>
    <w:rsid w:val="000C09DB"/>
    <w:rsid w:val="000C1F3F"/>
    <w:rsid w:val="000C2079"/>
    <w:rsid w:val="000C2424"/>
    <w:rsid w:val="000C39A4"/>
    <w:rsid w:val="000C3D96"/>
    <w:rsid w:val="000C4942"/>
    <w:rsid w:val="000C49D0"/>
    <w:rsid w:val="000C5EE6"/>
    <w:rsid w:val="000C6B27"/>
    <w:rsid w:val="000C6E48"/>
    <w:rsid w:val="000C7102"/>
    <w:rsid w:val="000C7EB3"/>
    <w:rsid w:val="000D0085"/>
    <w:rsid w:val="000D0BA1"/>
    <w:rsid w:val="000D0E9A"/>
    <w:rsid w:val="000D10AB"/>
    <w:rsid w:val="000D115A"/>
    <w:rsid w:val="000D18DF"/>
    <w:rsid w:val="000D1970"/>
    <w:rsid w:val="000D2422"/>
    <w:rsid w:val="000D5118"/>
    <w:rsid w:val="000D58B6"/>
    <w:rsid w:val="000D5C09"/>
    <w:rsid w:val="000D5D71"/>
    <w:rsid w:val="000D5EE1"/>
    <w:rsid w:val="000D6AD5"/>
    <w:rsid w:val="000D6D72"/>
    <w:rsid w:val="000D6FAC"/>
    <w:rsid w:val="000D72A8"/>
    <w:rsid w:val="000D7543"/>
    <w:rsid w:val="000D797D"/>
    <w:rsid w:val="000D7B6B"/>
    <w:rsid w:val="000D7BDF"/>
    <w:rsid w:val="000D7DA3"/>
    <w:rsid w:val="000D7F04"/>
    <w:rsid w:val="000E0AEF"/>
    <w:rsid w:val="000E0D21"/>
    <w:rsid w:val="000E0D98"/>
    <w:rsid w:val="000E1949"/>
    <w:rsid w:val="000E1B95"/>
    <w:rsid w:val="000E206E"/>
    <w:rsid w:val="000E25CD"/>
    <w:rsid w:val="000E3EB7"/>
    <w:rsid w:val="000E41FF"/>
    <w:rsid w:val="000E4393"/>
    <w:rsid w:val="000E463E"/>
    <w:rsid w:val="000E4836"/>
    <w:rsid w:val="000E4C14"/>
    <w:rsid w:val="000E546F"/>
    <w:rsid w:val="000E55AE"/>
    <w:rsid w:val="000E59CB"/>
    <w:rsid w:val="000E5A07"/>
    <w:rsid w:val="000E5B16"/>
    <w:rsid w:val="000E5EF4"/>
    <w:rsid w:val="000E61B1"/>
    <w:rsid w:val="000E6444"/>
    <w:rsid w:val="000E6A68"/>
    <w:rsid w:val="000E6B80"/>
    <w:rsid w:val="000E6C29"/>
    <w:rsid w:val="000E78AA"/>
    <w:rsid w:val="000F0A40"/>
    <w:rsid w:val="000F14B9"/>
    <w:rsid w:val="000F256C"/>
    <w:rsid w:val="000F29F6"/>
    <w:rsid w:val="000F3538"/>
    <w:rsid w:val="000F40E2"/>
    <w:rsid w:val="000F485D"/>
    <w:rsid w:val="000F4A54"/>
    <w:rsid w:val="000F4CBB"/>
    <w:rsid w:val="000F4EC3"/>
    <w:rsid w:val="000F526C"/>
    <w:rsid w:val="000F567C"/>
    <w:rsid w:val="000F5755"/>
    <w:rsid w:val="000F57B5"/>
    <w:rsid w:val="000F632A"/>
    <w:rsid w:val="000F73D2"/>
    <w:rsid w:val="000F78F0"/>
    <w:rsid w:val="0010029A"/>
    <w:rsid w:val="0010062D"/>
    <w:rsid w:val="00100E5C"/>
    <w:rsid w:val="00101494"/>
    <w:rsid w:val="00101C27"/>
    <w:rsid w:val="00103A28"/>
    <w:rsid w:val="0010582B"/>
    <w:rsid w:val="00106F66"/>
    <w:rsid w:val="00107C55"/>
    <w:rsid w:val="00107FF8"/>
    <w:rsid w:val="00110C09"/>
    <w:rsid w:val="00111A8D"/>
    <w:rsid w:val="001120B3"/>
    <w:rsid w:val="00112490"/>
    <w:rsid w:val="001126EF"/>
    <w:rsid w:val="00112B0B"/>
    <w:rsid w:val="0011368D"/>
    <w:rsid w:val="001148F6"/>
    <w:rsid w:val="00114FA5"/>
    <w:rsid w:val="001155AC"/>
    <w:rsid w:val="00116A2D"/>
    <w:rsid w:val="00116D97"/>
    <w:rsid w:val="0011722B"/>
    <w:rsid w:val="001208B7"/>
    <w:rsid w:val="0012092E"/>
    <w:rsid w:val="0012169C"/>
    <w:rsid w:val="00121FF5"/>
    <w:rsid w:val="00123821"/>
    <w:rsid w:val="00124289"/>
    <w:rsid w:val="00124E13"/>
    <w:rsid w:val="00126709"/>
    <w:rsid w:val="00126CA6"/>
    <w:rsid w:val="001308F6"/>
    <w:rsid w:val="0013169D"/>
    <w:rsid w:val="00132700"/>
    <w:rsid w:val="00132F32"/>
    <w:rsid w:val="0013378D"/>
    <w:rsid w:val="00133D05"/>
    <w:rsid w:val="00136061"/>
    <w:rsid w:val="00136834"/>
    <w:rsid w:val="00136EA0"/>
    <w:rsid w:val="00136F3D"/>
    <w:rsid w:val="00137982"/>
    <w:rsid w:val="001402F2"/>
    <w:rsid w:val="00140C8D"/>
    <w:rsid w:val="0014152A"/>
    <w:rsid w:val="0014219D"/>
    <w:rsid w:val="00143C13"/>
    <w:rsid w:val="00144511"/>
    <w:rsid w:val="00145CDD"/>
    <w:rsid w:val="001460F4"/>
    <w:rsid w:val="0014612A"/>
    <w:rsid w:val="001467B0"/>
    <w:rsid w:val="001467CE"/>
    <w:rsid w:val="00146A28"/>
    <w:rsid w:val="00146C80"/>
    <w:rsid w:val="00146F82"/>
    <w:rsid w:val="00150863"/>
    <w:rsid w:val="00150D9D"/>
    <w:rsid w:val="00152248"/>
    <w:rsid w:val="0015432E"/>
    <w:rsid w:val="00154449"/>
    <w:rsid w:val="00155FC8"/>
    <w:rsid w:val="00156368"/>
    <w:rsid w:val="00156EB9"/>
    <w:rsid w:val="00157359"/>
    <w:rsid w:val="00157EC4"/>
    <w:rsid w:val="0016031E"/>
    <w:rsid w:val="00160334"/>
    <w:rsid w:val="001617B9"/>
    <w:rsid w:val="00162690"/>
    <w:rsid w:val="0016274A"/>
    <w:rsid w:val="00162CC9"/>
    <w:rsid w:val="00163132"/>
    <w:rsid w:val="00163AFF"/>
    <w:rsid w:val="00163C61"/>
    <w:rsid w:val="00164BF9"/>
    <w:rsid w:val="001650B5"/>
    <w:rsid w:val="00165A8C"/>
    <w:rsid w:val="00165B03"/>
    <w:rsid w:val="0016639A"/>
    <w:rsid w:val="00167205"/>
    <w:rsid w:val="0016789C"/>
    <w:rsid w:val="00167BAA"/>
    <w:rsid w:val="00167BF6"/>
    <w:rsid w:val="00170005"/>
    <w:rsid w:val="00170CB4"/>
    <w:rsid w:val="00170D8A"/>
    <w:rsid w:val="00170DF7"/>
    <w:rsid w:val="001718DC"/>
    <w:rsid w:val="00171B98"/>
    <w:rsid w:val="001720E2"/>
    <w:rsid w:val="0017239C"/>
    <w:rsid w:val="00174A3D"/>
    <w:rsid w:val="00175B25"/>
    <w:rsid w:val="00176367"/>
    <w:rsid w:val="0017793C"/>
    <w:rsid w:val="00177CA1"/>
    <w:rsid w:val="00180A37"/>
    <w:rsid w:val="00180A39"/>
    <w:rsid w:val="0018149C"/>
    <w:rsid w:val="001815F1"/>
    <w:rsid w:val="00181C7F"/>
    <w:rsid w:val="00183889"/>
    <w:rsid w:val="00183CEE"/>
    <w:rsid w:val="00184EB3"/>
    <w:rsid w:val="00184F92"/>
    <w:rsid w:val="001856EB"/>
    <w:rsid w:val="00185B97"/>
    <w:rsid w:val="00186634"/>
    <w:rsid w:val="00186D2E"/>
    <w:rsid w:val="001876A5"/>
    <w:rsid w:val="00187BDF"/>
    <w:rsid w:val="00187D2B"/>
    <w:rsid w:val="00190D3D"/>
    <w:rsid w:val="00190E7F"/>
    <w:rsid w:val="00192AB7"/>
    <w:rsid w:val="00193B74"/>
    <w:rsid w:val="0019591E"/>
    <w:rsid w:val="00196E90"/>
    <w:rsid w:val="00197367"/>
    <w:rsid w:val="00197B20"/>
    <w:rsid w:val="00197EC2"/>
    <w:rsid w:val="001A0665"/>
    <w:rsid w:val="001A1C89"/>
    <w:rsid w:val="001A2689"/>
    <w:rsid w:val="001A32ED"/>
    <w:rsid w:val="001A3878"/>
    <w:rsid w:val="001A4100"/>
    <w:rsid w:val="001A49E4"/>
    <w:rsid w:val="001A4FA5"/>
    <w:rsid w:val="001A678E"/>
    <w:rsid w:val="001A76D9"/>
    <w:rsid w:val="001B0571"/>
    <w:rsid w:val="001B0B5B"/>
    <w:rsid w:val="001B0E71"/>
    <w:rsid w:val="001B1F60"/>
    <w:rsid w:val="001B2301"/>
    <w:rsid w:val="001B3849"/>
    <w:rsid w:val="001B39CE"/>
    <w:rsid w:val="001B3C61"/>
    <w:rsid w:val="001B4C1A"/>
    <w:rsid w:val="001B54DB"/>
    <w:rsid w:val="001B6B07"/>
    <w:rsid w:val="001B75C4"/>
    <w:rsid w:val="001B7694"/>
    <w:rsid w:val="001B77B1"/>
    <w:rsid w:val="001C0BCA"/>
    <w:rsid w:val="001C0F6B"/>
    <w:rsid w:val="001C1F5D"/>
    <w:rsid w:val="001C27CD"/>
    <w:rsid w:val="001C2E62"/>
    <w:rsid w:val="001C31B3"/>
    <w:rsid w:val="001C459E"/>
    <w:rsid w:val="001C59D2"/>
    <w:rsid w:val="001C5C14"/>
    <w:rsid w:val="001C6163"/>
    <w:rsid w:val="001C6564"/>
    <w:rsid w:val="001C7654"/>
    <w:rsid w:val="001C7AEA"/>
    <w:rsid w:val="001C7F05"/>
    <w:rsid w:val="001D0102"/>
    <w:rsid w:val="001D012A"/>
    <w:rsid w:val="001D0238"/>
    <w:rsid w:val="001D08EA"/>
    <w:rsid w:val="001D10AC"/>
    <w:rsid w:val="001D19F9"/>
    <w:rsid w:val="001D2063"/>
    <w:rsid w:val="001D2361"/>
    <w:rsid w:val="001D273C"/>
    <w:rsid w:val="001D36C0"/>
    <w:rsid w:val="001D3EA9"/>
    <w:rsid w:val="001D4516"/>
    <w:rsid w:val="001D4FDF"/>
    <w:rsid w:val="001D56A9"/>
    <w:rsid w:val="001D59D0"/>
    <w:rsid w:val="001D7276"/>
    <w:rsid w:val="001D76A8"/>
    <w:rsid w:val="001D7703"/>
    <w:rsid w:val="001D7E41"/>
    <w:rsid w:val="001E0147"/>
    <w:rsid w:val="001E04CA"/>
    <w:rsid w:val="001E0541"/>
    <w:rsid w:val="001E139E"/>
    <w:rsid w:val="001E2128"/>
    <w:rsid w:val="001E29D5"/>
    <w:rsid w:val="001E2F97"/>
    <w:rsid w:val="001E391D"/>
    <w:rsid w:val="001E3EF8"/>
    <w:rsid w:val="001E3F20"/>
    <w:rsid w:val="001E44BD"/>
    <w:rsid w:val="001E4E41"/>
    <w:rsid w:val="001E5761"/>
    <w:rsid w:val="001E5DD0"/>
    <w:rsid w:val="001E68B5"/>
    <w:rsid w:val="001E6E65"/>
    <w:rsid w:val="001E6E6F"/>
    <w:rsid w:val="001E6F16"/>
    <w:rsid w:val="001E732D"/>
    <w:rsid w:val="001E779F"/>
    <w:rsid w:val="001E790E"/>
    <w:rsid w:val="001F064E"/>
    <w:rsid w:val="001F0DC7"/>
    <w:rsid w:val="001F1166"/>
    <w:rsid w:val="001F16B1"/>
    <w:rsid w:val="001F178D"/>
    <w:rsid w:val="001F2027"/>
    <w:rsid w:val="001F21F6"/>
    <w:rsid w:val="001F23DE"/>
    <w:rsid w:val="001F2A48"/>
    <w:rsid w:val="001F405D"/>
    <w:rsid w:val="001F46FC"/>
    <w:rsid w:val="001F48BF"/>
    <w:rsid w:val="001F5359"/>
    <w:rsid w:val="001F5513"/>
    <w:rsid w:val="001F5720"/>
    <w:rsid w:val="001F58A7"/>
    <w:rsid w:val="001F5C28"/>
    <w:rsid w:val="001F5F5D"/>
    <w:rsid w:val="001F72D4"/>
    <w:rsid w:val="001F769A"/>
    <w:rsid w:val="001F7B0F"/>
    <w:rsid w:val="00200D69"/>
    <w:rsid w:val="002013B0"/>
    <w:rsid w:val="002019EC"/>
    <w:rsid w:val="00202016"/>
    <w:rsid w:val="002044F6"/>
    <w:rsid w:val="0020502B"/>
    <w:rsid w:val="002055A9"/>
    <w:rsid w:val="00205B14"/>
    <w:rsid w:val="00205EE2"/>
    <w:rsid w:val="0020759B"/>
    <w:rsid w:val="002100B3"/>
    <w:rsid w:val="002109A7"/>
    <w:rsid w:val="0021147E"/>
    <w:rsid w:val="0021162B"/>
    <w:rsid w:val="00212131"/>
    <w:rsid w:val="0021245C"/>
    <w:rsid w:val="002125E2"/>
    <w:rsid w:val="00213F0D"/>
    <w:rsid w:val="002145B5"/>
    <w:rsid w:val="002147A1"/>
    <w:rsid w:val="00215978"/>
    <w:rsid w:val="002173C7"/>
    <w:rsid w:val="00217A80"/>
    <w:rsid w:val="0022200D"/>
    <w:rsid w:val="00222346"/>
    <w:rsid w:val="00222BE2"/>
    <w:rsid w:val="00223700"/>
    <w:rsid w:val="00223FC1"/>
    <w:rsid w:val="0022422B"/>
    <w:rsid w:val="0022451D"/>
    <w:rsid w:val="00224905"/>
    <w:rsid w:val="00225AF7"/>
    <w:rsid w:val="002262EC"/>
    <w:rsid w:val="0022640E"/>
    <w:rsid w:val="0022659A"/>
    <w:rsid w:val="002267D6"/>
    <w:rsid w:val="00226E46"/>
    <w:rsid w:val="00227636"/>
    <w:rsid w:val="00230138"/>
    <w:rsid w:val="00230BEC"/>
    <w:rsid w:val="00230DA4"/>
    <w:rsid w:val="00230F58"/>
    <w:rsid w:val="002329AA"/>
    <w:rsid w:val="002337C2"/>
    <w:rsid w:val="0023431B"/>
    <w:rsid w:val="00234384"/>
    <w:rsid w:val="002344FE"/>
    <w:rsid w:val="00234606"/>
    <w:rsid w:val="002353AF"/>
    <w:rsid w:val="00235BCF"/>
    <w:rsid w:val="00235E3B"/>
    <w:rsid w:val="0023691D"/>
    <w:rsid w:val="00240EE5"/>
    <w:rsid w:val="00241635"/>
    <w:rsid w:val="00241943"/>
    <w:rsid w:val="00241BD4"/>
    <w:rsid w:val="00241EB2"/>
    <w:rsid w:val="00241FA1"/>
    <w:rsid w:val="00243E44"/>
    <w:rsid w:val="002446CD"/>
    <w:rsid w:val="00244F13"/>
    <w:rsid w:val="0024548A"/>
    <w:rsid w:val="00245B88"/>
    <w:rsid w:val="00245C71"/>
    <w:rsid w:val="0024633C"/>
    <w:rsid w:val="002464B9"/>
    <w:rsid w:val="002466A6"/>
    <w:rsid w:val="00246F22"/>
    <w:rsid w:val="00247BBE"/>
    <w:rsid w:val="00247DF2"/>
    <w:rsid w:val="00250029"/>
    <w:rsid w:val="00250260"/>
    <w:rsid w:val="00250405"/>
    <w:rsid w:val="002505BC"/>
    <w:rsid w:val="002505EE"/>
    <w:rsid w:val="00250C95"/>
    <w:rsid w:val="0025149C"/>
    <w:rsid w:val="00252408"/>
    <w:rsid w:val="00252694"/>
    <w:rsid w:val="002534FB"/>
    <w:rsid w:val="00254232"/>
    <w:rsid w:val="0025438E"/>
    <w:rsid w:val="00255560"/>
    <w:rsid w:val="0025624C"/>
    <w:rsid w:val="0025707E"/>
    <w:rsid w:val="002572D9"/>
    <w:rsid w:val="0026044C"/>
    <w:rsid w:val="00260705"/>
    <w:rsid w:val="00260B80"/>
    <w:rsid w:val="002614AD"/>
    <w:rsid w:val="00261524"/>
    <w:rsid w:val="002615A3"/>
    <w:rsid w:val="00261840"/>
    <w:rsid w:val="00261921"/>
    <w:rsid w:val="0026197E"/>
    <w:rsid w:val="002634BD"/>
    <w:rsid w:val="00263DC6"/>
    <w:rsid w:val="002646A8"/>
    <w:rsid w:val="00264AE0"/>
    <w:rsid w:val="00264B96"/>
    <w:rsid w:val="00270F84"/>
    <w:rsid w:val="00270F85"/>
    <w:rsid w:val="00271102"/>
    <w:rsid w:val="0027165B"/>
    <w:rsid w:val="00272043"/>
    <w:rsid w:val="002733D6"/>
    <w:rsid w:val="00274A7B"/>
    <w:rsid w:val="002753F6"/>
    <w:rsid w:val="002758E6"/>
    <w:rsid w:val="00275C6C"/>
    <w:rsid w:val="002765B2"/>
    <w:rsid w:val="00276AD0"/>
    <w:rsid w:val="00276FF1"/>
    <w:rsid w:val="00280D59"/>
    <w:rsid w:val="0028151D"/>
    <w:rsid w:val="00281711"/>
    <w:rsid w:val="00281AE9"/>
    <w:rsid w:val="002829F6"/>
    <w:rsid w:val="00282AA2"/>
    <w:rsid w:val="00282BA4"/>
    <w:rsid w:val="002834E2"/>
    <w:rsid w:val="00283913"/>
    <w:rsid w:val="0028397A"/>
    <w:rsid w:val="00283C77"/>
    <w:rsid w:val="0028649D"/>
    <w:rsid w:val="0028787D"/>
    <w:rsid w:val="002878A1"/>
    <w:rsid w:val="00290438"/>
    <w:rsid w:val="00290469"/>
    <w:rsid w:val="00290BF1"/>
    <w:rsid w:val="00291CEF"/>
    <w:rsid w:val="00292326"/>
    <w:rsid w:val="002924FD"/>
    <w:rsid w:val="00292A7A"/>
    <w:rsid w:val="002945BE"/>
    <w:rsid w:val="0029566F"/>
    <w:rsid w:val="00295A8F"/>
    <w:rsid w:val="00295B68"/>
    <w:rsid w:val="002A001C"/>
    <w:rsid w:val="002A0146"/>
    <w:rsid w:val="002A02B7"/>
    <w:rsid w:val="002A0599"/>
    <w:rsid w:val="002A1649"/>
    <w:rsid w:val="002A1A4D"/>
    <w:rsid w:val="002A4635"/>
    <w:rsid w:val="002A6695"/>
    <w:rsid w:val="002A6CB5"/>
    <w:rsid w:val="002A6FAE"/>
    <w:rsid w:val="002A71AA"/>
    <w:rsid w:val="002A7450"/>
    <w:rsid w:val="002B03B3"/>
    <w:rsid w:val="002B04F1"/>
    <w:rsid w:val="002B07F4"/>
    <w:rsid w:val="002B3FCC"/>
    <w:rsid w:val="002B4EF5"/>
    <w:rsid w:val="002B58D7"/>
    <w:rsid w:val="002B7795"/>
    <w:rsid w:val="002B78AA"/>
    <w:rsid w:val="002C09F2"/>
    <w:rsid w:val="002C14C5"/>
    <w:rsid w:val="002C281F"/>
    <w:rsid w:val="002C3DA2"/>
    <w:rsid w:val="002C457C"/>
    <w:rsid w:val="002C496C"/>
    <w:rsid w:val="002C583D"/>
    <w:rsid w:val="002C5A44"/>
    <w:rsid w:val="002C656B"/>
    <w:rsid w:val="002C6972"/>
    <w:rsid w:val="002C74DD"/>
    <w:rsid w:val="002C785A"/>
    <w:rsid w:val="002C7C29"/>
    <w:rsid w:val="002D00E4"/>
    <w:rsid w:val="002D078E"/>
    <w:rsid w:val="002D0C75"/>
    <w:rsid w:val="002D1314"/>
    <w:rsid w:val="002D3534"/>
    <w:rsid w:val="002D3E08"/>
    <w:rsid w:val="002D49F9"/>
    <w:rsid w:val="002D4F11"/>
    <w:rsid w:val="002D506B"/>
    <w:rsid w:val="002D509E"/>
    <w:rsid w:val="002D56B0"/>
    <w:rsid w:val="002D7E4C"/>
    <w:rsid w:val="002E0814"/>
    <w:rsid w:val="002E0B43"/>
    <w:rsid w:val="002E0C68"/>
    <w:rsid w:val="002E1AA9"/>
    <w:rsid w:val="002E1EFF"/>
    <w:rsid w:val="002E2071"/>
    <w:rsid w:val="002E23DF"/>
    <w:rsid w:val="002E2404"/>
    <w:rsid w:val="002E2F7F"/>
    <w:rsid w:val="002E35B8"/>
    <w:rsid w:val="002E36ED"/>
    <w:rsid w:val="002E38AA"/>
    <w:rsid w:val="002E3B3A"/>
    <w:rsid w:val="002E3F07"/>
    <w:rsid w:val="002E46A5"/>
    <w:rsid w:val="002E51B9"/>
    <w:rsid w:val="002E54FD"/>
    <w:rsid w:val="002E5846"/>
    <w:rsid w:val="002E591F"/>
    <w:rsid w:val="002E5B82"/>
    <w:rsid w:val="002E5DEC"/>
    <w:rsid w:val="002E6047"/>
    <w:rsid w:val="002E750D"/>
    <w:rsid w:val="002F047B"/>
    <w:rsid w:val="002F0FEA"/>
    <w:rsid w:val="002F1558"/>
    <w:rsid w:val="002F1DBE"/>
    <w:rsid w:val="002F1F4D"/>
    <w:rsid w:val="002F22A3"/>
    <w:rsid w:val="002F25AB"/>
    <w:rsid w:val="002F295A"/>
    <w:rsid w:val="002F2AD7"/>
    <w:rsid w:val="002F3856"/>
    <w:rsid w:val="002F3F06"/>
    <w:rsid w:val="002F3FE6"/>
    <w:rsid w:val="002F4142"/>
    <w:rsid w:val="002F4209"/>
    <w:rsid w:val="002F495E"/>
    <w:rsid w:val="002F4EEC"/>
    <w:rsid w:val="002F581A"/>
    <w:rsid w:val="002F5CF8"/>
    <w:rsid w:val="002F6ED3"/>
    <w:rsid w:val="002F700C"/>
    <w:rsid w:val="002F709A"/>
    <w:rsid w:val="002F79CD"/>
    <w:rsid w:val="002F7D70"/>
    <w:rsid w:val="003007E7"/>
    <w:rsid w:val="00300A25"/>
    <w:rsid w:val="00301F58"/>
    <w:rsid w:val="00302D41"/>
    <w:rsid w:val="003030A0"/>
    <w:rsid w:val="00303292"/>
    <w:rsid w:val="00303517"/>
    <w:rsid w:val="003041DD"/>
    <w:rsid w:val="00304460"/>
    <w:rsid w:val="00305269"/>
    <w:rsid w:val="00305A3C"/>
    <w:rsid w:val="00306997"/>
    <w:rsid w:val="0030757F"/>
    <w:rsid w:val="00307C43"/>
    <w:rsid w:val="00310AC0"/>
    <w:rsid w:val="00310CAF"/>
    <w:rsid w:val="00310D6F"/>
    <w:rsid w:val="00310D9D"/>
    <w:rsid w:val="00312321"/>
    <w:rsid w:val="003123E5"/>
    <w:rsid w:val="00312C0E"/>
    <w:rsid w:val="00313AC8"/>
    <w:rsid w:val="003142E0"/>
    <w:rsid w:val="00314346"/>
    <w:rsid w:val="003144A8"/>
    <w:rsid w:val="003147F8"/>
    <w:rsid w:val="0031570B"/>
    <w:rsid w:val="00315F1F"/>
    <w:rsid w:val="00316B5B"/>
    <w:rsid w:val="00316D07"/>
    <w:rsid w:val="0031711F"/>
    <w:rsid w:val="00317689"/>
    <w:rsid w:val="0031772E"/>
    <w:rsid w:val="003205B2"/>
    <w:rsid w:val="003205DD"/>
    <w:rsid w:val="00320760"/>
    <w:rsid w:val="003211D6"/>
    <w:rsid w:val="00321940"/>
    <w:rsid w:val="00322C34"/>
    <w:rsid w:val="003237F5"/>
    <w:rsid w:val="00323BA2"/>
    <w:rsid w:val="00323BB6"/>
    <w:rsid w:val="0032530A"/>
    <w:rsid w:val="003257BC"/>
    <w:rsid w:val="0032592D"/>
    <w:rsid w:val="00326040"/>
    <w:rsid w:val="0032678B"/>
    <w:rsid w:val="00326CB1"/>
    <w:rsid w:val="00326E9B"/>
    <w:rsid w:val="003275E6"/>
    <w:rsid w:val="00327722"/>
    <w:rsid w:val="0032788C"/>
    <w:rsid w:val="00327936"/>
    <w:rsid w:val="00327B3F"/>
    <w:rsid w:val="00327E29"/>
    <w:rsid w:val="00330ABA"/>
    <w:rsid w:val="00331EAF"/>
    <w:rsid w:val="00333C95"/>
    <w:rsid w:val="00334004"/>
    <w:rsid w:val="003349CB"/>
    <w:rsid w:val="00335508"/>
    <w:rsid w:val="0033553F"/>
    <w:rsid w:val="00336D82"/>
    <w:rsid w:val="00337698"/>
    <w:rsid w:val="003408F4"/>
    <w:rsid w:val="00341E64"/>
    <w:rsid w:val="00342FF0"/>
    <w:rsid w:val="00343450"/>
    <w:rsid w:val="003434F8"/>
    <w:rsid w:val="0034357C"/>
    <w:rsid w:val="00343AA7"/>
    <w:rsid w:val="00343E64"/>
    <w:rsid w:val="00344B8E"/>
    <w:rsid w:val="00346AC1"/>
    <w:rsid w:val="0034792E"/>
    <w:rsid w:val="00347EE4"/>
    <w:rsid w:val="003516D1"/>
    <w:rsid w:val="0035188A"/>
    <w:rsid w:val="00351E6A"/>
    <w:rsid w:val="0035237C"/>
    <w:rsid w:val="00355B5C"/>
    <w:rsid w:val="00357962"/>
    <w:rsid w:val="00357E35"/>
    <w:rsid w:val="0036050E"/>
    <w:rsid w:val="00362355"/>
    <w:rsid w:val="0036506F"/>
    <w:rsid w:val="00365191"/>
    <w:rsid w:val="00365A05"/>
    <w:rsid w:val="0036626B"/>
    <w:rsid w:val="003666B7"/>
    <w:rsid w:val="00366A37"/>
    <w:rsid w:val="00367318"/>
    <w:rsid w:val="0036745A"/>
    <w:rsid w:val="00367BA3"/>
    <w:rsid w:val="00367D1E"/>
    <w:rsid w:val="00367E49"/>
    <w:rsid w:val="0037297B"/>
    <w:rsid w:val="00372A7D"/>
    <w:rsid w:val="00372E2E"/>
    <w:rsid w:val="0037336A"/>
    <w:rsid w:val="003737BE"/>
    <w:rsid w:val="00374925"/>
    <w:rsid w:val="00375B26"/>
    <w:rsid w:val="00375E55"/>
    <w:rsid w:val="0037652B"/>
    <w:rsid w:val="0037666E"/>
    <w:rsid w:val="00376BED"/>
    <w:rsid w:val="00377D58"/>
    <w:rsid w:val="00380711"/>
    <w:rsid w:val="00380A90"/>
    <w:rsid w:val="00380FFC"/>
    <w:rsid w:val="0038119C"/>
    <w:rsid w:val="00381ACC"/>
    <w:rsid w:val="00382597"/>
    <w:rsid w:val="00382A1A"/>
    <w:rsid w:val="00382AEA"/>
    <w:rsid w:val="00382C11"/>
    <w:rsid w:val="00382CCA"/>
    <w:rsid w:val="00382E6F"/>
    <w:rsid w:val="00383EF8"/>
    <w:rsid w:val="0038493A"/>
    <w:rsid w:val="00384B95"/>
    <w:rsid w:val="00385FAA"/>
    <w:rsid w:val="00386314"/>
    <w:rsid w:val="00386414"/>
    <w:rsid w:val="00386416"/>
    <w:rsid w:val="00386450"/>
    <w:rsid w:val="003870A7"/>
    <w:rsid w:val="00387458"/>
    <w:rsid w:val="003903DA"/>
    <w:rsid w:val="0039085F"/>
    <w:rsid w:val="003911AB"/>
    <w:rsid w:val="00391C1C"/>
    <w:rsid w:val="00391E58"/>
    <w:rsid w:val="0039265D"/>
    <w:rsid w:val="00392A1A"/>
    <w:rsid w:val="00392A39"/>
    <w:rsid w:val="00392B7C"/>
    <w:rsid w:val="00392BEC"/>
    <w:rsid w:val="00392D4B"/>
    <w:rsid w:val="003936B2"/>
    <w:rsid w:val="00393958"/>
    <w:rsid w:val="00394082"/>
    <w:rsid w:val="0039455C"/>
    <w:rsid w:val="00394956"/>
    <w:rsid w:val="00394E26"/>
    <w:rsid w:val="003954B8"/>
    <w:rsid w:val="00395508"/>
    <w:rsid w:val="00395893"/>
    <w:rsid w:val="00395D66"/>
    <w:rsid w:val="003964C2"/>
    <w:rsid w:val="00396E11"/>
    <w:rsid w:val="00397442"/>
    <w:rsid w:val="00397596"/>
    <w:rsid w:val="0039761A"/>
    <w:rsid w:val="003A0BA7"/>
    <w:rsid w:val="003A1327"/>
    <w:rsid w:val="003A170C"/>
    <w:rsid w:val="003A1BC7"/>
    <w:rsid w:val="003A2E66"/>
    <w:rsid w:val="003A4488"/>
    <w:rsid w:val="003A4C2D"/>
    <w:rsid w:val="003A62C5"/>
    <w:rsid w:val="003A63F6"/>
    <w:rsid w:val="003A7061"/>
    <w:rsid w:val="003A7A32"/>
    <w:rsid w:val="003B0020"/>
    <w:rsid w:val="003B0194"/>
    <w:rsid w:val="003B2308"/>
    <w:rsid w:val="003B25C8"/>
    <w:rsid w:val="003B2F49"/>
    <w:rsid w:val="003B32B4"/>
    <w:rsid w:val="003B4550"/>
    <w:rsid w:val="003B4810"/>
    <w:rsid w:val="003B4DAB"/>
    <w:rsid w:val="003B643C"/>
    <w:rsid w:val="003B6E0D"/>
    <w:rsid w:val="003B7087"/>
    <w:rsid w:val="003B77B8"/>
    <w:rsid w:val="003B7AAC"/>
    <w:rsid w:val="003C00B8"/>
    <w:rsid w:val="003C0278"/>
    <w:rsid w:val="003C0520"/>
    <w:rsid w:val="003C0BB7"/>
    <w:rsid w:val="003C0FA0"/>
    <w:rsid w:val="003C0FB5"/>
    <w:rsid w:val="003C1039"/>
    <w:rsid w:val="003C1439"/>
    <w:rsid w:val="003C421A"/>
    <w:rsid w:val="003C4B33"/>
    <w:rsid w:val="003C5358"/>
    <w:rsid w:val="003C63A7"/>
    <w:rsid w:val="003C6F09"/>
    <w:rsid w:val="003C71D0"/>
    <w:rsid w:val="003C77D2"/>
    <w:rsid w:val="003D02D5"/>
    <w:rsid w:val="003D069C"/>
    <w:rsid w:val="003D0728"/>
    <w:rsid w:val="003D1BB6"/>
    <w:rsid w:val="003D2634"/>
    <w:rsid w:val="003D2EA7"/>
    <w:rsid w:val="003D4A03"/>
    <w:rsid w:val="003D57E8"/>
    <w:rsid w:val="003D5FD7"/>
    <w:rsid w:val="003D63E0"/>
    <w:rsid w:val="003D6C94"/>
    <w:rsid w:val="003D79D9"/>
    <w:rsid w:val="003D7E7B"/>
    <w:rsid w:val="003D7EB3"/>
    <w:rsid w:val="003E0286"/>
    <w:rsid w:val="003E02B6"/>
    <w:rsid w:val="003E08FC"/>
    <w:rsid w:val="003E0CB2"/>
    <w:rsid w:val="003E0F8B"/>
    <w:rsid w:val="003E0FA0"/>
    <w:rsid w:val="003E1005"/>
    <w:rsid w:val="003E1366"/>
    <w:rsid w:val="003E1996"/>
    <w:rsid w:val="003E1EA3"/>
    <w:rsid w:val="003E211E"/>
    <w:rsid w:val="003E2A5F"/>
    <w:rsid w:val="003E333E"/>
    <w:rsid w:val="003E35F3"/>
    <w:rsid w:val="003E375A"/>
    <w:rsid w:val="003E382B"/>
    <w:rsid w:val="003E44E0"/>
    <w:rsid w:val="003E5002"/>
    <w:rsid w:val="003E5D14"/>
    <w:rsid w:val="003E61C8"/>
    <w:rsid w:val="003E628D"/>
    <w:rsid w:val="003E71F8"/>
    <w:rsid w:val="003E79BC"/>
    <w:rsid w:val="003E7AB7"/>
    <w:rsid w:val="003E7B44"/>
    <w:rsid w:val="003E7C17"/>
    <w:rsid w:val="003E7CC5"/>
    <w:rsid w:val="003F0720"/>
    <w:rsid w:val="003F0F3F"/>
    <w:rsid w:val="003F1380"/>
    <w:rsid w:val="003F173D"/>
    <w:rsid w:val="003F1D57"/>
    <w:rsid w:val="003F23DA"/>
    <w:rsid w:val="003F2B25"/>
    <w:rsid w:val="003F2E1C"/>
    <w:rsid w:val="003F4196"/>
    <w:rsid w:val="003F470C"/>
    <w:rsid w:val="003F48AF"/>
    <w:rsid w:val="003F5071"/>
    <w:rsid w:val="003F69CC"/>
    <w:rsid w:val="003F6CF8"/>
    <w:rsid w:val="00400456"/>
    <w:rsid w:val="00400C4A"/>
    <w:rsid w:val="004012B3"/>
    <w:rsid w:val="0040193A"/>
    <w:rsid w:val="00401B84"/>
    <w:rsid w:val="0040266A"/>
    <w:rsid w:val="00402879"/>
    <w:rsid w:val="0040314D"/>
    <w:rsid w:val="00403C32"/>
    <w:rsid w:val="004048E8"/>
    <w:rsid w:val="00404FC1"/>
    <w:rsid w:val="00405461"/>
    <w:rsid w:val="00405B74"/>
    <w:rsid w:val="0040649A"/>
    <w:rsid w:val="0040652B"/>
    <w:rsid w:val="00407525"/>
    <w:rsid w:val="00410062"/>
    <w:rsid w:val="004109BD"/>
    <w:rsid w:val="00410CC7"/>
    <w:rsid w:val="00410D07"/>
    <w:rsid w:val="00410D81"/>
    <w:rsid w:val="0041154F"/>
    <w:rsid w:val="00411C0A"/>
    <w:rsid w:val="004121EA"/>
    <w:rsid w:val="00413880"/>
    <w:rsid w:val="00414018"/>
    <w:rsid w:val="00414763"/>
    <w:rsid w:val="00414B6F"/>
    <w:rsid w:val="00414D91"/>
    <w:rsid w:val="00415085"/>
    <w:rsid w:val="0041594E"/>
    <w:rsid w:val="00415A9F"/>
    <w:rsid w:val="004169A3"/>
    <w:rsid w:val="00416E65"/>
    <w:rsid w:val="00417701"/>
    <w:rsid w:val="00417781"/>
    <w:rsid w:val="00420E07"/>
    <w:rsid w:val="00421057"/>
    <w:rsid w:val="0042118E"/>
    <w:rsid w:val="004214EC"/>
    <w:rsid w:val="00421653"/>
    <w:rsid w:val="004217AD"/>
    <w:rsid w:val="004219BF"/>
    <w:rsid w:val="004221C6"/>
    <w:rsid w:val="00424410"/>
    <w:rsid w:val="00424C45"/>
    <w:rsid w:val="0042537F"/>
    <w:rsid w:val="004255D1"/>
    <w:rsid w:val="00425FFF"/>
    <w:rsid w:val="004277ED"/>
    <w:rsid w:val="00427A34"/>
    <w:rsid w:val="00430784"/>
    <w:rsid w:val="004310AB"/>
    <w:rsid w:val="004319C2"/>
    <w:rsid w:val="00431F7A"/>
    <w:rsid w:val="00432764"/>
    <w:rsid w:val="004335CA"/>
    <w:rsid w:val="00433A11"/>
    <w:rsid w:val="0043509E"/>
    <w:rsid w:val="00435974"/>
    <w:rsid w:val="00436ABB"/>
    <w:rsid w:val="00436FDA"/>
    <w:rsid w:val="0043784A"/>
    <w:rsid w:val="00437BF2"/>
    <w:rsid w:val="0044019E"/>
    <w:rsid w:val="0044039B"/>
    <w:rsid w:val="00441CB2"/>
    <w:rsid w:val="0044201A"/>
    <w:rsid w:val="004420DD"/>
    <w:rsid w:val="00443217"/>
    <w:rsid w:val="00443676"/>
    <w:rsid w:val="004436DD"/>
    <w:rsid w:val="0044560C"/>
    <w:rsid w:val="00446528"/>
    <w:rsid w:val="004465DF"/>
    <w:rsid w:val="00451383"/>
    <w:rsid w:val="00451D3E"/>
    <w:rsid w:val="004521D3"/>
    <w:rsid w:val="0045290C"/>
    <w:rsid w:val="00452EFA"/>
    <w:rsid w:val="00453E3B"/>
    <w:rsid w:val="0045408C"/>
    <w:rsid w:val="0045461E"/>
    <w:rsid w:val="00454651"/>
    <w:rsid w:val="00455313"/>
    <w:rsid w:val="00455F92"/>
    <w:rsid w:val="00455FBB"/>
    <w:rsid w:val="00456FE8"/>
    <w:rsid w:val="004606FE"/>
    <w:rsid w:val="00460A75"/>
    <w:rsid w:val="004623EA"/>
    <w:rsid w:val="00462966"/>
    <w:rsid w:val="00463575"/>
    <w:rsid w:val="004638E8"/>
    <w:rsid w:val="004647C6"/>
    <w:rsid w:val="00465DF9"/>
    <w:rsid w:val="0046613E"/>
    <w:rsid w:val="0046627B"/>
    <w:rsid w:val="00466FA5"/>
    <w:rsid w:val="004676C5"/>
    <w:rsid w:val="00467867"/>
    <w:rsid w:val="00467FDF"/>
    <w:rsid w:val="00470505"/>
    <w:rsid w:val="00470783"/>
    <w:rsid w:val="00470EC9"/>
    <w:rsid w:val="00471B2C"/>
    <w:rsid w:val="004723D0"/>
    <w:rsid w:val="00472470"/>
    <w:rsid w:val="00472BA0"/>
    <w:rsid w:val="00473D41"/>
    <w:rsid w:val="004750A1"/>
    <w:rsid w:val="004755CF"/>
    <w:rsid w:val="004758B3"/>
    <w:rsid w:val="00476D39"/>
    <w:rsid w:val="00476DF4"/>
    <w:rsid w:val="00476E14"/>
    <w:rsid w:val="004771B5"/>
    <w:rsid w:val="004807A8"/>
    <w:rsid w:val="00480EE3"/>
    <w:rsid w:val="004813E7"/>
    <w:rsid w:val="00482018"/>
    <w:rsid w:val="0048212C"/>
    <w:rsid w:val="004821FF"/>
    <w:rsid w:val="00482C6F"/>
    <w:rsid w:val="00483173"/>
    <w:rsid w:val="004833A0"/>
    <w:rsid w:val="004834F5"/>
    <w:rsid w:val="00483761"/>
    <w:rsid w:val="00485B7D"/>
    <w:rsid w:val="00486B4B"/>
    <w:rsid w:val="00490190"/>
    <w:rsid w:val="0049049C"/>
    <w:rsid w:val="004905B0"/>
    <w:rsid w:val="004908FA"/>
    <w:rsid w:val="00490A6D"/>
    <w:rsid w:val="0049190E"/>
    <w:rsid w:val="00491BF7"/>
    <w:rsid w:val="00491DC7"/>
    <w:rsid w:val="0049213D"/>
    <w:rsid w:val="004923F3"/>
    <w:rsid w:val="00492DC5"/>
    <w:rsid w:val="00496068"/>
    <w:rsid w:val="00496170"/>
    <w:rsid w:val="00496D7B"/>
    <w:rsid w:val="004A1069"/>
    <w:rsid w:val="004A1406"/>
    <w:rsid w:val="004A199F"/>
    <w:rsid w:val="004A1E1A"/>
    <w:rsid w:val="004A2002"/>
    <w:rsid w:val="004A265D"/>
    <w:rsid w:val="004A28F9"/>
    <w:rsid w:val="004A2ABB"/>
    <w:rsid w:val="004A48F8"/>
    <w:rsid w:val="004A4CDC"/>
    <w:rsid w:val="004A4D3A"/>
    <w:rsid w:val="004A4FB9"/>
    <w:rsid w:val="004A5AD8"/>
    <w:rsid w:val="004A5BDF"/>
    <w:rsid w:val="004A600A"/>
    <w:rsid w:val="004A61F3"/>
    <w:rsid w:val="004A6266"/>
    <w:rsid w:val="004A62AB"/>
    <w:rsid w:val="004A663C"/>
    <w:rsid w:val="004A6A32"/>
    <w:rsid w:val="004A6DFD"/>
    <w:rsid w:val="004A717B"/>
    <w:rsid w:val="004A7995"/>
    <w:rsid w:val="004A79D6"/>
    <w:rsid w:val="004A7DAF"/>
    <w:rsid w:val="004B03A3"/>
    <w:rsid w:val="004B0849"/>
    <w:rsid w:val="004B250B"/>
    <w:rsid w:val="004B2DB1"/>
    <w:rsid w:val="004B32D9"/>
    <w:rsid w:val="004B3A83"/>
    <w:rsid w:val="004B5AD2"/>
    <w:rsid w:val="004B7343"/>
    <w:rsid w:val="004C0260"/>
    <w:rsid w:val="004C0607"/>
    <w:rsid w:val="004C0E72"/>
    <w:rsid w:val="004C114D"/>
    <w:rsid w:val="004C1552"/>
    <w:rsid w:val="004C178B"/>
    <w:rsid w:val="004C1856"/>
    <w:rsid w:val="004C230A"/>
    <w:rsid w:val="004C2680"/>
    <w:rsid w:val="004C273D"/>
    <w:rsid w:val="004C48EE"/>
    <w:rsid w:val="004C4E5E"/>
    <w:rsid w:val="004C4F9B"/>
    <w:rsid w:val="004C63A8"/>
    <w:rsid w:val="004C651B"/>
    <w:rsid w:val="004C671F"/>
    <w:rsid w:val="004C69F4"/>
    <w:rsid w:val="004C75CD"/>
    <w:rsid w:val="004C7841"/>
    <w:rsid w:val="004C7988"/>
    <w:rsid w:val="004C7B89"/>
    <w:rsid w:val="004D0E08"/>
    <w:rsid w:val="004D21DE"/>
    <w:rsid w:val="004D2A2D"/>
    <w:rsid w:val="004D3EAE"/>
    <w:rsid w:val="004D425E"/>
    <w:rsid w:val="004D53AA"/>
    <w:rsid w:val="004D5547"/>
    <w:rsid w:val="004D6899"/>
    <w:rsid w:val="004D68B1"/>
    <w:rsid w:val="004D77F5"/>
    <w:rsid w:val="004D7AD2"/>
    <w:rsid w:val="004D7C64"/>
    <w:rsid w:val="004E0263"/>
    <w:rsid w:val="004E07AF"/>
    <w:rsid w:val="004E0920"/>
    <w:rsid w:val="004E1E88"/>
    <w:rsid w:val="004E2548"/>
    <w:rsid w:val="004E2D44"/>
    <w:rsid w:val="004E3C4B"/>
    <w:rsid w:val="004E40B3"/>
    <w:rsid w:val="004E4A54"/>
    <w:rsid w:val="004E4E98"/>
    <w:rsid w:val="004E751C"/>
    <w:rsid w:val="004E7E0E"/>
    <w:rsid w:val="004F2041"/>
    <w:rsid w:val="004F2135"/>
    <w:rsid w:val="004F268F"/>
    <w:rsid w:val="004F269B"/>
    <w:rsid w:val="004F2868"/>
    <w:rsid w:val="004F34CA"/>
    <w:rsid w:val="004F363F"/>
    <w:rsid w:val="004F3F4E"/>
    <w:rsid w:val="004F4D22"/>
    <w:rsid w:val="004F5A68"/>
    <w:rsid w:val="004F7322"/>
    <w:rsid w:val="004F7894"/>
    <w:rsid w:val="004F7B4B"/>
    <w:rsid w:val="005006E2"/>
    <w:rsid w:val="00500AAC"/>
    <w:rsid w:val="00500FBE"/>
    <w:rsid w:val="00501125"/>
    <w:rsid w:val="0050146B"/>
    <w:rsid w:val="00501905"/>
    <w:rsid w:val="0050196F"/>
    <w:rsid w:val="00501FDA"/>
    <w:rsid w:val="005027B7"/>
    <w:rsid w:val="005033E2"/>
    <w:rsid w:val="00503B27"/>
    <w:rsid w:val="00503BBA"/>
    <w:rsid w:val="00503DCA"/>
    <w:rsid w:val="005053E7"/>
    <w:rsid w:val="00505B05"/>
    <w:rsid w:val="0050612D"/>
    <w:rsid w:val="0050629A"/>
    <w:rsid w:val="00507187"/>
    <w:rsid w:val="005072DF"/>
    <w:rsid w:val="00510683"/>
    <w:rsid w:val="00510DD2"/>
    <w:rsid w:val="00510F21"/>
    <w:rsid w:val="00511A1C"/>
    <w:rsid w:val="00513FA0"/>
    <w:rsid w:val="00514241"/>
    <w:rsid w:val="00514C80"/>
    <w:rsid w:val="005150D2"/>
    <w:rsid w:val="0051531D"/>
    <w:rsid w:val="0051544C"/>
    <w:rsid w:val="00515EB3"/>
    <w:rsid w:val="00516F9B"/>
    <w:rsid w:val="005176DF"/>
    <w:rsid w:val="00517FDA"/>
    <w:rsid w:val="005206D5"/>
    <w:rsid w:val="005208FB"/>
    <w:rsid w:val="005211AB"/>
    <w:rsid w:val="00521ACD"/>
    <w:rsid w:val="0052268E"/>
    <w:rsid w:val="00522BEF"/>
    <w:rsid w:val="0052312D"/>
    <w:rsid w:val="00523405"/>
    <w:rsid w:val="005238E9"/>
    <w:rsid w:val="00525095"/>
    <w:rsid w:val="0052512E"/>
    <w:rsid w:val="00525F4C"/>
    <w:rsid w:val="00526534"/>
    <w:rsid w:val="00527521"/>
    <w:rsid w:val="0052771D"/>
    <w:rsid w:val="00527A63"/>
    <w:rsid w:val="00527C83"/>
    <w:rsid w:val="0053231C"/>
    <w:rsid w:val="00532AA1"/>
    <w:rsid w:val="005335CB"/>
    <w:rsid w:val="00534A2D"/>
    <w:rsid w:val="00534EAD"/>
    <w:rsid w:val="00535207"/>
    <w:rsid w:val="00535C45"/>
    <w:rsid w:val="005368B4"/>
    <w:rsid w:val="00537386"/>
    <w:rsid w:val="005375B6"/>
    <w:rsid w:val="00537723"/>
    <w:rsid w:val="00537927"/>
    <w:rsid w:val="005400AA"/>
    <w:rsid w:val="00540183"/>
    <w:rsid w:val="005401AB"/>
    <w:rsid w:val="0054083F"/>
    <w:rsid w:val="00540E2D"/>
    <w:rsid w:val="00541F17"/>
    <w:rsid w:val="0054251F"/>
    <w:rsid w:val="00544BC8"/>
    <w:rsid w:val="0054519E"/>
    <w:rsid w:val="0054544C"/>
    <w:rsid w:val="00545A1C"/>
    <w:rsid w:val="00545C0F"/>
    <w:rsid w:val="00546A98"/>
    <w:rsid w:val="0054719A"/>
    <w:rsid w:val="00550275"/>
    <w:rsid w:val="005504BE"/>
    <w:rsid w:val="005505C2"/>
    <w:rsid w:val="005524EE"/>
    <w:rsid w:val="00552557"/>
    <w:rsid w:val="005527CF"/>
    <w:rsid w:val="00552D87"/>
    <w:rsid w:val="00553048"/>
    <w:rsid w:val="005530C6"/>
    <w:rsid w:val="00554528"/>
    <w:rsid w:val="00554B06"/>
    <w:rsid w:val="00554C80"/>
    <w:rsid w:val="0055507D"/>
    <w:rsid w:val="0055507E"/>
    <w:rsid w:val="005559BA"/>
    <w:rsid w:val="00555A76"/>
    <w:rsid w:val="005564BC"/>
    <w:rsid w:val="0055671D"/>
    <w:rsid w:val="00557448"/>
    <w:rsid w:val="00560097"/>
    <w:rsid w:val="0056015F"/>
    <w:rsid w:val="005603DC"/>
    <w:rsid w:val="005607A4"/>
    <w:rsid w:val="0056250D"/>
    <w:rsid w:val="0056285C"/>
    <w:rsid w:val="00563687"/>
    <w:rsid w:val="00563D36"/>
    <w:rsid w:val="00563FB6"/>
    <w:rsid w:val="0056537F"/>
    <w:rsid w:val="0056585B"/>
    <w:rsid w:val="00565D7B"/>
    <w:rsid w:val="00566EDC"/>
    <w:rsid w:val="00567AAE"/>
    <w:rsid w:val="00567DDB"/>
    <w:rsid w:val="00570249"/>
    <w:rsid w:val="005704D0"/>
    <w:rsid w:val="00570C1F"/>
    <w:rsid w:val="0057108A"/>
    <w:rsid w:val="00571420"/>
    <w:rsid w:val="00572227"/>
    <w:rsid w:val="00573AC2"/>
    <w:rsid w:val="00573DF0"/>
    <w:rsid w:val="0057421F"/>
    <w:rsid w:val="005745C0"/>
    <w:rsid w:val="005746CE"/>
    <w:rsid w:val="00575CFB"/>
    <w:rsid w:val="00576150"/>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772"/>
    <w:rsid w:val="005862DC"/>
    <w:rsid w:val="00586CAD"/>
    <w:rsid w:val="00586DE3"/>
    <w:rsid w:val="005875E0"/>
    <w:rsid w:val="00587872"/>
    <w:rsid w:val="00587BCD"/>
    <w:rsid w:val="00587E2E"/>
    <w:rsid w:val="00587E3D"/>
    <w:rsid w:val="005902E4"/>
    <w:rsid w:val="00590CEE"/>
    <w:rsid w:val="00591CC5"/>
    <w:rsid w:val="00591E62"/>
    <w:rsid w:val="00591F60"/>
    <w:rsid w:val="00592DCF"/>
    <w:rsid w:val="00593104"/>
    <w:rsid w:val="005933FF"/>
    <w:rsid w:val="00594130"/>
    <w:rsid w:val="00594794"/>
    <w:rsid w:val="00594B9F"/>
    <w:rsid w:val="005969C8"/>
    <w:rsid w:val="00596FF9"/>
    <w:rsid w:val="0059793D"/>
    <w:rsid w:val="00597A82"/>
    <w:rsid w:val="00597B46"/>
    <w:rsid w:val="005A0ABB"/>
    <w:rsid w:val="005A1049"/>
    <w:rsid w:val="005A152C"/>
    <w:rsid w:val="005A3C2D"/>
    <w:rsid w:val="005A3FCD"/>
    <w:rsid w:val="005A4E59"/>
    <w:rsid w:val="005A6891"/>
    <w:rsid w:val="005A6EFF"/>
    <w:rsid w:val="005A7475"/>
    <w:rsid w:val="005A759A"/>
    <w:rsid w:val="005B022A"/>
    <w:rsid w:val="005B0987"/>
    <w:rsid w:val="005B2177"/>
    <w:rsid w:val="005B39E2"/>
    <w:rsid w:val="005B3D19"/>
    <w:rsid w:val="005B3F97"/>
    <w:rsid w:val="005B5569"/>
    <w:rsid w:val="005B6E41"/>
    <w:rsid w:val="005B757D"/>
    <w:rsid w:val="005C04DB"/>
    <w:rsid w:val="005C0CDA"/>
    <w:rsid w:val="005C16FD"/>
    <w:rsid w:val="005C21C7"/>
    <w:rsid w:val="005C37EB"/>
    <w:rsid w:val="005C3995"/>
    <w:rsid w:val="005C3996"/>
    <w:rsid w:val="005C39A6"/>
    <w:rsid w:val="005C4276"/>
    <w:rsid w:val="005C4E7A"/>
    <w:rsid w:val="005C4F64"/>
    <w:rsid w:val="005C4F76"/>
    <w:rsid w:val="005C5405"/>
    <w:rsid w:val="005C5478"/>
    <w:rsid w:val="005C5BB3"/>
    <w:rsid w:val="005C6087"/>
    <w:rsid w:val="005C64FE"/>
    <w:rsid w:val="005C6F39"/>
    <w:rsid w:val="005C7BBB"/>
    <w:rsid w:val="005C7CBD"/>
    <w:rsid w:val="005D0243"/>
    <w:rsid w:val="005D045B"/>
    <w:rsid w:val="005D04B3"/>
    <w:rsid w:val="005D0A8C"/>
    <w:rsid w:val="005D0BF0"/>
    <w:rsid w:val="005D0EFA"/>
    <w:rsid w:val="005D14A8"/>
    <w:rsid w:val="005D2208"/>
    <w:rsid w:val="005D2B05"/>
    <w:rsid w:val="005D2D86"/>
    <w:rsid w:val="005D2F87"/>
    <w:rsid w:val="005D3156"/>
    <w:rsid w:val="005D331D"/>
    <w:rsid w:val="005D3DDF"/>
    <w:rsid w:val="005D4072"/>
    <w:rsid w:val="005D4CC4"/>
    <w:rsid w:val="005D4F18"/>
    <w:rsid w:val="005D6CA2"/>
    <w:rsid w:val="005E023C"/>
    <w:rsid w:val="005E05CD"/>
    <w:rsid w:val="005E0E55"/>
    <w:rsid w:val="005E134D"/>
    <w:rsid w:val="005E249C"/>
    <w:rsid w:val="005E28F0"/>
    <w:rsid w:val="005E2A5C"/>
    <w:rsid w:val="005E2F3F"/>
    <w:rsid w:val="005E3037"/>
    <w:rsid w:val="005E3919"/>
    <w:rsid w:val="005E3EA2"/>
    <w:rsid w:val="005E43FC"/>
    <w:rsid w:val="005E44BF"/>
    <w:rsid w:val="005E475F"/>
    <w:rsid w:val="005E4BF7"/>
    <w:rsid w:val="005E4D38"/>
    <w:rsid w:val="005E4E79"/>
    <w:rsid w:val="005E4E8F"/>
    <w:rsid w:val="005E500F"/>
    <w:rsid w:val="005E5958"/>
    <w:rsid w:val="005E6086"/>
    <w:rsid w:val="005E612F"/>
    <w:rsid w:val="005E6AA5"/>
    <w:rsid w:val="005E79CF"/>
    <w:rsid w:val="005E7B63"/>
    <w:rsid w:val="005E7C51"/>
    <w:rsid w:val="005F0EBB"/>
    <w:rsid w:val="005F111D"/>
    <w:rsid w:val="005F1C95"/>
    <w:rsid w:val="005F1FA1"/>
    <w:rsid w:val="005F2D25"/>
    <w:rsid w:val="005F43E7"/>
    <w:rsid w:val="005F466E"/>
    <w:rsid w:val="005F5231"/>
    <w:rsid w:val="005F5C82"/>
    <w:rsid w:val="005F6E45"/>
    <w:rsid w:val="00600172"/>
    <w:rsid w:val="00600ED0"/>
    <w:rsid w:val="006013E0"/>
    <w:rsid w:val="00602172"/>
    <w:rsid w:val="006025D9"/>
    <w:rsid w:val="00602B8F"/>
    <w:rsid w:val="00603072"/>
    <w:rsid w:val="00603453"/>
    <w:rsid w:val="00603B75"/>
    <w:rsid w:val="00603BB9"/>
    <w:rsid w:val="00604926"/>
    <w:rsid w:val="006055E6"/>
    <w:rsid w:val="0060571B"/>
    <w:rsid w:val="00605C1C"/>
    <w:rsid w:val="0060644B"/>
    <w:rsid w:val="00606918"/>
    <w:rsid w:val="00607237"/>
    <w:rsid w:val="006074DC"/>
    <w:rsid w:val="00610CA5"/>
    <w:rsid w:val="0061158F"/>
    <w:rsid w:val="0061194F"/>
    <w:rsid w:val="00611BEC"/>
    <w:rsid w:val="00611C7F"/>
    <w:rsid w:val="00612517"/>
    <w:rsid w:val="00612D2E"/>
    <w:rsid w:val="00612ED4"/>
    <w:rsid w:val="006131EB"/>
    <w:rsid w:val="006135A8"/>
    <w:rsid w:val="00613F20"/>
    <w:rsid w:val="006147E3"/>
    <w:rsid w:val="006148A7"/>
    <w:rsid w:val="00615093"/>
    <w:rsid w:val="00615713"/>
    <w:rsid w:val="00615DAC"/>
    <w:rsid w:val="00616AD5"/>
    <w:rsid w:val="0061762E"/>
    <w:rsid w:val="006178D6"/>
    <w:rsid w:val="00617B0E"/>
    <w:rsid w:val="00617B69"/>
    <w:rsid w:val="00617C21"/>
    <w:rsid w:val="00617E71"/>
    <w:rsid w:val="0062028B"/>
    <w:rsid w:val="006204A5"/>
    <w:rsid w:val="00620F17"/>
    <w:rsid w:val="006226E1"/>
    <w:rsid w:val="00624236"/>
    <w:rsid w:val="0062459B"/>
    <w:rsid w:val="006248A6"/>
    <w:rsid w:val="0062573D"/>
    <w:rsid w:val="00625751"/>
    <w:rsid w:val="00627421"/>
    <w:rsid w:val="00627425"/>
    <w:rsid w:val="006278EE"/>
    <w:rsid w:val="00630C3B"/>
    <w:rsid w:val="006312A6"/>
    <w:rsid w:val="006313DB"/>
    <w:rsid w:val="0063149E"/>
    <w:rsid w:val="006322F0"/>
    <w:rsid w:val="0063294D"/>
    <w:rsid w:val="0063375F"/>
    <w:rsid w:val="00634F25"/>
    <w:rsid w:val="00635064"/>
    <w:rsid w:val="0063682E"/>
    <w:rsid w:val="00636EC4"/>
    <w:rsid w:val="00637151"/>
    <w:rsid w:val="006376A7"/>
    <w:rsid w:val="00637945"/>
    <w:rsid w:val="00637BD5"/>
    <w:rsid w:val="00637F73"/>
    <w:rsid w:val="00637FF0"/>
    <w:rsid w:val="006401E0"/>
    <w:rsid w:val="00640358"/>
    <w:rsid w:val="006404FF"/>
    <w:rsid w:val="006407E5"/>
    <w:rsid w:val="0064126D"/>
    <w:rsid w:val="00641333"/>
    <w:rsid w:val="00641A36"/>
    <w:rsid w:val="00643359"/>
    <w:rsid w:val="00643EA8"/>
    <w:rsid w:val="00643EEC"/>
    <w:rsid w:val="00644010"/>
    <w:rsid w:val="00644A8D"/>
    <w:rsid w:val="006450F0"/>
    <w:rsid w:val="0064547A"/>
    <w:rsid w:val="00645788"/>
    <w:rsid w:val="0064580C"/>
    <w:rsid w:val="00645951"/>
    <w:rsid w:val="00645BE7"/>
    <w:rsid w:val="006461E0"/>
    <w:rsid w:val="006501E0"/>
    <w:rsid w:val="006505A4"/>
    <w:rsid w:val="006509B6"/>
    <w:rsid w:val="0065182D"/>
    <w:rsid w:val="00651881"/>
    <w:rsid w:val="00651BB2"/>
    <w:rsid w:val="00652D3B"/>
    <w:rsid w:val="00653117"/>
    <w:rsid w:val="00653172"/>
    <w:rsid w:val="0065390B"/>
    <w:rsid w:val="00653F9F"/>
    <w:rsid w:val="00653FFA"/>
    <w:rsid w:val="00654321"/>
    <w:rsid w:val="00654701"/>
    <w:rsid w:val="00654AC9"/>
    <w:rsid w:val="00655D25"/>
    <w:rsid w:val="00655DAD"/>
    <w:rsid w:val="006564BA"/>
    <w:rsid w:val="00656915"/>
    <w:rsid w:val="00656EB4"/>
    <w:rsid w:val="00657252"/>
    <w:rsid w:val="00657278"/>
    <w:rsid w:val="006572E5"/>
    <w:rsid w:val="006579B3"/>
    <w:rsid w:val="00657CCC"/>
    <w:rsid w:val="00660A95"/>
    <w:rsid w:val="00662783"/>
    <w:rsid w:val="006629A3"/>
    <w:rsid w:val="00663A4E"/>
    <w:rsid w:val="00664CD3"/>
    <w:rsid w:val="00664E34"/>
    <w:rsid w:val="00665910"/>
    <w:rsid w:val="00665D37"/>
    <w:rsid w:val="00665FDC"/>
    <w:rsid w:val="00665FE2"/>
    <w:rsid w:val="006667DA"/>
    <w:rsid w:val="00666869"/>
    <w:rsid w:val="00670570"/>
    <w:rsid w:val="006707C2"/>
    <w:rsid w:val="006711A3"/>
    <w:rsid w:val="0067290C"/>
    <w:rsid w:val="006736E0"/>
    <w:rsid w:val="006738A7"/>
    <w:rsid w:val="00673D5B"/>
    <w:rsid w:val="00675963"/>
    <w:rsid w:val="00675EA3"/>
    <w:rsid w:val="0067607D"/>
    <w:rsid w:val="006762A9"/>
    <w:rsid w:val="0067649C"/>
    <w:rsid w:val="00676648"/>
    <w:rsid w:val="00677764"/>
    <w:rsid w:val="00680281"/>
    <w:rsid w:val="006803D1"/>
    <w:rsid w:val="00680548"/>
    <w:rsid w:val="0068129F"/>
    <w:rsid w:val="0068254F"/>
    <w:rsid w:val="0068289E"/>
    <w:rsid w:val="00682E4B"/>
    <w:rsid w:val="00683043"/>
    <w:rsid w:val="00684AB1"/>
    <w:rsid w:val="006857BA"/>
    <w:rsid w:val="00686079"/>
    <w:rsid w:val="00686328"/>
    <w:rsid w:val="00686510"/>
    <w:rsid w:val="00686671"/>
    <w:rsid w:val="006869ED"/>
    <w:rsid w:val="006900D0"/>
    <w:rsid w:val="00690FA0"/>
    <w:rsid w:val="00690FEC"/>
    <w:rsid w:val="00691654"/>
    <w:rsid w:val="0069170F"/>
    <w:rsid w:val="006918F9"/>
    <w:rsid w:val="00691A2B"/>
    <w:rsid w:val="00693493"/>
    <w:rsid w:val="00693B64"/>
    <w:rsid w:val="00693C6B"/>
    <w:rsid w:val="00693E66"/>
    <w:rsid w:val="006944FD"/>
    <w:rsid w:val="00694505"/>
    <w:rsid w:val="00694F92"/>
    <w:rsid w:val="0069518F"/>
    <w:rsid w:val="006955F9"/>
    <w:rsid w:val="00697320"/>
    <w:rsid w:val="006976DF"/>
    <w:rsid w:val="006A0B35"/>
    <w:rsid w:val="006A0FAC"/>
    <w:rsid w:val="006A12E3"/>
    <w:rsid w:val="006A1B63"/>
    <w:rsid w:val="006A21DB"/>
    <w:rsid w:val="006A2E2B"/>
    <w:rsid w:val="006A3C50"/>
    <w:rsid w:val="006A44D6"/>
    <w:rsid w:val="006A7060"/>
    <w:rsid w:val="006A72E9"/>
    <w:rsid w:val="006A7CCE"/>
    <w:rsid w:val="006B0917"/>
    <w:rsid w:val="006B1514"/>
    <w:rsid w:val="006B1B45"/>
    <w:rsid w:val="006B287B"/>
    <w:rsid w:val="006B2D11"/>
    <w:rsid w:val="006B3FD1"/>
    <w:rsid w:val="006B479D"/>
    <w:rsid w:val="006C0252"/>
    <w:rsid w:val="006C032D"/>
    <w:rsid w:val="006C05F5"/>
    <w:rsid w:val="006C06E1"/>
    <w:rsid w:val="006C0D1A"/>
    <w:rsid w:val="006C1B61"/>
    <w:rsid w:val="006C1BED"/>
    <w:rsid w:val="006C3049"/>
    <w:rsid w:val="006C309F"/>
    <w:rsid w:val="006C39A7"/>
    <w:rsid w:val="006C4AAE"/>
    <w:rsid w:val="006C4CD6"/>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B9"/>
    <w:rsid w:val="006D1BD2"/>
    <w:rsid w:val="006D1CB2"/>
    <w:rsid w:val="006D255A"/>
    <w:rsid w:val="006D27B4"/>
    <w:rsid w:val="006D32A6"/>
    <w:rsid w:val="006D35F0"/>
    <w:rsid w:val="006D399C"/>
    <w:rsid w:val="006D4409"/>
    <w:rsid w:val="006D4500"/>
    <w:rsid w:val="006D4A5A"/>
    <w:rsid w:val="006D4C85"/>
    <w:rsid w:val="006D4D70"/>
    <w:rsid w:val="006D5B99"/>
    <w:rsid w:val="006D5BB8"/>
    <w:rsid w:val="006D6A76"/>
    <w:rsid w:val="006D7129"/>
    <w:rsid w:val="006D7756"/>
    <w:rsid w:val="006E028A"/>
    <w:rsid w:val="006E06D2"/>
    <w:rsid w:val="006E0F9A"/>
    <w:rsid w:val="006E169C"/>
    <w:rsid w:val="006E2291"/>
    <w:rsid w:val="006E3843"/>
    <w:rsid w:val="006E38FC"/>
    <w:rsid w:val="006E3BD2"/>
    <w:rsid w:val="006E3CB5"/>
    <w:rsid w:val="006E414A"/>
    <w:rsid w:val="006E4483"/>
    <w:rsid w:val="006E471D"/>
    <w:rsid w:val="006E488D"/>
    <w:rsid w:val="006E4DE3"/>
    <w:rsid w:val="006E55C3"/>
    <w:rsid w:val="006E5A2B"/>
    <w:rsid w:val="006E651D"/>
    <w:rsid w:val="006E6967"/>
    <w:rsid w:val="006E7E30"/>
    <w:rsid w:val="006F000B"/>
    <w:rsid w:val="006F0FDA"/>
    <w:rsid w:val="006F132E"/>
    <w:rsid w:val="006F38CF"/>
    <w:rsid w:val="006F39AA"/>
    <w:rsid w:val="006F39AE"/>
    <w:rsid w:val="006F42AE"/>
    <w:rsid w:val="006F5128"/>
    <w:rsid w:val="006F5AD3"/>
    <w:rsid w:val="006F5EDF"/>
    <w:rsid w:val="006F65D6"/>
    <w:rsid w:val="006F6940"/>
    <w:rsid w:val="006F7CFD"/>
    <w:rsid w:val="00701BBB"/>
    <w:rsid w:val="00703AD8"/>
    <w:rsid w:val="00703EE7"/>
    <w:rsid w:val="00704D55"/>
    <w:rsid w:val="0070510C"/>
    <w:rsid w:val="007051FC"/>
    <w:rsid w:val="00705C38"/>
    <w:rsid w:val="00705C76"/>
    <w:rsid w:val="00705E3C"/>
    <w:rsid w:val="0070636B"/>
    <w:rsid w:val="007069F7"/>
    <w:rsid w:val="00706A2F"/>
    <w:rsid w:val="007073EF"/>
    <w:rsid w:val="0070776B"/>
    <w:rsid w:val="00707848"/>
    <w:rsid w:val="007078E7"/>
    <w:rsid w:val="00707CC0"/>
    <w:rsid w:val="00707D7A"/>
    <w:rsid w:val="007102DB"/>
    <w:rsid w:val="00710CE0"/>
    <w:rsid w:val="007120E5"/>
    <w:rsid w:val="00712234"/>
    <w:rsid w:val="0071281E"/>
    <w:rsid w:val="00713E27"/>
    <w:rsid w:val="007141DC"/>
    <w:rsid w:val="00714BC7"/>
    <w:rsid w:val="00714CE2"/>
    <w:rsid w:val="00714FAF"/>
    <w:rsid w:val="0071572C"/>
    <w:rsid w:val="00715746"/>
    <w:rsid w:val="00715A5B"/>
    <w:rsid w:val="007173C7"/>
    <w:rsid w:val="007174FC"/>
    <w:rsid w:val="00717F8C"/>
    <w:rsid w:val="0072085C"/>
    <w:rsid w:val="00720D96"/>
    <w:rsid w:val="0072128B"/>
    <w:rsid w:val="0072169C"/>
    <w:rsid w:val="00721928"/>
    <w:rsid w:val="00722BAC"/>
    <w:rsid w:val="0072319E"/>
    <w:rsid w:val="007233FF"/>
    <w:rsid w:val="00723FC5"/>
    <w:rsid w:val="0072471D"/>
    <w:rsid w:val="00725192"/>
    <w:rsid w:val="007257CB"/>
    <w:rsid w:val="00725871"/>
    <w:rsid w:val="00726C28"/>
    <w:rsid w:val="0072704C"/>
    <w:rsid w:val="00730F80"/>
    <w:rsid w:val="0073102C"/>
    <w:rsid w:val="00731616"/>
    <w:rsid w:val="00731D52"/>
    <w:rsid w:val="00732472"/>
    <w:rsid w:val="00732763"/>
    <w:rsid w:val="00732A4A"/>
    <w:rsid w:val="0073332B"/>
    <w:rsid w:val="0073337E"/>
    <w:rsid w:val="00734046"/>
    <w:rsid w:val="007353AB"/>
    <w:rsid w:val="00736FF6"/>
    <w:rsid w:val="0073713A"/>
    <w:rsid w:val="0073714B"/>
    <w:rsid w:val="007400DB"/>
    <w:rsid w:val="00740487"/>
    <w:rsid w:val="00740A7A"/>
    <w:rsid w:val="00741186"/>
    <w:rsid w:val="007414B5"/>
    <w:rsid w:val="0074165F"/>
    <w:rsid w:val="00741FF7"/>
    <w:rsid w:val="00742262"/>
    <w:rsid w:val="00742993"/>
    <w:rsid w:val="00744F44"/>
    <w:rsid w:val="0074568D"/>
    <w:rsid w:val="00746350"/>
    <w:rsid w:val="00750C5F"/>
    <w:rsid w:val="007512AA"/>
    <w:rsid w:val="00751418"/>
    <w:rsid w:val="007518C7"/>
    <w:rsid w:val="00751DA0"/>
    <w:rsid w:val="00751EB1"/>
    <w:rsid w:val="00752920"/>
    <w:rsid w:val="00752CBF"/>
    <w:rsid w:val="00753695"/>
    <w:rsid w:val="00753A12"/>
    <w:rsid w:val="0075405B"/>
    <w:rsid w:val="0075490F"/>
    <w:rsid w:val="00754E86"/>
    <w:rsid w:val="0076082A"/>
    <w:rsid w:val="00760C4A"/>
    <w:rsid w:val="00761D2B"/>
    <w:rsid w:val="00762396"/>
    <w:rsid w:val="00762891"/>
    <w:rsid w:val="00763D3E"/>
    <w:rsid w:val="007656F7"/>
    <w:rsid w:val="00765FE9"/>
    <w:rsid w:val="00766AC1"/>
    <w:rsid w:val="00766B46"/>
    <w:rsid w:val="00766C0D"/>
    <w:rsid w:val="00770F70"/>
    <w:rsid w:val="00771039"/>
    <w:rsid w:val="007710FF"/>
    <w:rsid w:val="007711BE"/>
    <w:rsid w:val="00772A78"/>
    <w:rsid w:val="00772BB9"/>
    <w:rsid w:val="00772EF3"/>
    <w:rsid w:val="0077304B"/>
    <w:rsid w:val="007732E0"/>
    <w:rsid w:val="00773609"/>
    <w:rsid w:val="00773C76"/>
    <w:rsid w:val="00773D56"/>
    <w:rsid w:val="007743E3"/>
    <w:rsid w:val="0077441B"/>
    <w:rsid w:val="00775CF0"/>
    <w:rsid w:val="00775D36"/>
    <w:rsid w:val="00775D6C"/>
    <w:rsid w:val="007766FF"/>
    <w:rsid w:val="00776FEA"/>
    <w:rsid w:val="00777B8E"/>
    <w:rsid w:val="007800FE"/>
    <w:rsid w:val="00781646"/>
    <w:rsid w:val="007825DF"/>
    <w:rsid w:val="00783348"/>
    <w:rsid w:val="007834D7"/>
    <w:rsid w:val="007836DF"/>
    <w:rsid w:val="007840F7"/>
    <w:rsid w:val="00784752"/>
    <w:rsid w:val="007847DC"/>
    <w:rsid w:val="0078518C"/>
    <w:rsid w:val="00786D7D"/>
    <w:rsid w:val="00787390"/>
    <w:rsid w:val="007875B2"/>
    <w:rsid w:val="00787AD7"/>
    <w:rsid w:val="00790F58"/>
    <w:rsid w:val="007921CA"/>
    <w:rsid w:val="00792D0D"/>
    <w:rsid w:val="00793702"/>
    <w:rsid w:val="0079435B"/>
    <w:rsid w:val="007945A5"/>
    <w:rsid w:val="0079460D"/>
    <w:rsid w:val="007949FF"/>
    <w:rsid w:val="00794A78"/>
    <w:rsid w:val="007951CE"/>
    <w:rsid w:val="00795711"/>
    <w:rsid w:val="00796BB6"/>
    <w:rsid w:val="00796F94"/>
    <w:rsid w:val="0079754A"/>
    <w:rsid w:val="007A013F"/>
    <w:rsid w:val="007A0F4D"/>
    <w:rsid w:val="007A1208"/>
    <w:rsid w:val="007A14B0"/>
    <w:rsid w:val="007A1832"/>
    <w:rsid w:val="007A18A5"/>
    <w:rsid w:val="007A2862"/>
    <w:rsid w:val="007A334B"/>
    <w:rsid w:val="007A3E2D"/>
    <w:rsid w:val="007A3F0B"/>
    <w:rsid w:val="007A443E"/>
    <w:rsid w:val="007A4D8A"/>
    <w:rsid w:val="007A544F"/>
    <w:rsid w:val="007A58DF"/>
    <w:rsid w:val="007A5C28"/>
    <w:rsid w:val="007A6026"/>
    <w:rsid w:val="007A798B"/>
    <w:rsid w:val="007A7F62"/>
    <w:rsid w:val="007B043E"/>
    <w:rsid w:val="007B10C8"/>
    <w:rsid w:val="007B1CE8"/>
    <w:rsid w:val="007B260E"/>
    <w:rsid w:val="007B3759"/>
    <w:rsid w:val="007B385C"/>
    <w:rsid w:val="007B6AAC"/>
    <w:rsid w:val="007B75EA"/>
    <w:rsid w:val="007B760B"/>
    <w:rsid w:val="007B7840"/>
    <w:rsid w:val="007C0182"/>
    <w:rsid w:val="007C1502"/>
    <w:rsid w:val="007C1B39"/>
    <w:rsid w:val="007C225A"/>
    <w:rsid w:val="007C3370"/>
    <w:rsid w:val="007C3F08"/>
    <w:rsid w:val="007C563E"/>
    <w:rsid w:val="007C5DBD"/>
    <w:rsid w:val="007C6B46"/>
    <w:rsid w:val="007C71BC"/>
    <w:rsid w:val="007C7DEE"/>
    <w:rsid w:val="007C7E70"/>
    <w:rsid w:val="007C7FA7"/>
    <w:rsid w:val="007D02A2"/>
    <w:rsid w:val="007D0780"/>
    <w:rsid w:val="007D0DE0"/>
    <w:rsid w:val="007D1190"/>
    <w:rsid w:val="007D11CA"/>
    <w:rsid w:val="007D14BA"/>
    <w:rsid w:val="007D2850"/>
    <w:rsid w:val="007D2AD3"/>
    <w:rsid w:val="007D30B6"/>
    <w:rsid w:val="007D3354"/>
    <w:rsid w:val="007D421D"/>
    <w:rsid w:val="007D44B6"/>
    <w:rsid w:val="007D46BF"/>
    <w:rsid w:val="007D474D"/>
    <w:rsid w:val="007D51E1"/>
    <w:rsid w:val="007D573E"/>
    <w:rsid w:val="007D660E"/>
    <w:rsid w:val="007D6C4C"/>
    <w:rsid w:val="007E0248"/>
    <w:rsid w:val="007E030D"/>
    <w:rsid w:val="007E045E"/>
    <w:rsid w:val="007E06F7"/>
    <w:rsid w:val="007E1DF7"/>
    <w:rsid w:val="007E22F1"/>
    <w:rsid w:val="007E28FF"/>
    <w:rsid w:val="007E3F9A"/>
    <w:rsid w:val="007E46B9"/>
    <w:rsid w:val="007E6A5B"/>
    <w:rsid w:val="007F00E1"/>
    <w:rsid w:val="007F074D"/>
    <w:rsid w:val="007F0C30"/>
    <w:rsid w:val="007F1177"/>
    <w:rsid w:val="007F1517"/>
    <w:rsid w:val="007F19C1"/>
    <w:rsid w:val="007F212C"/>
    <w:rsid w:val="007F3773"/>
    <w:rsid w:val="007F3B02"/>
    <w:rsid w:val="007F4465"/>
    <w:rsid w:val="007F471C"/>
    <w:rsid w:val="007F4974"/>
    <w:rsid w:val="007F6170"/>
    <w:rsid w:val="007F61D8"/>
    <w:rsid w:val="007F64C3"/>
    <w:rsid w:val="007F68D9"/>
    <w:rsid w:val="007F69DE"/>
    <w:rsid w:val="007F6D31"/>
    <w:rsid w:val="007F6F5B"/>
    <w:rsid w:val="00801511"/>
    <w:rsid w:val="00802CB9"/>
    <w:rsid w:val="00802E53"/>
    <w:rsid w:val="00803141"/>
    <w:rsid w:val="008032F7"/>
    <w:rsid w:val="00803302"/>
    <w:rsid w:val="00804A6E"/>
    <w:rsid w:val="00805B7F"/>
    <w:rsid w:val="0080626A"/>
    <w:rsid w:val="008062DA"/>
    <w:rsid w:val="00806502"/>
    <w:rsid w:val="00806803"/>
    <w:rsid w:val="00807772"/>
    <w:rsid w:val="008077D7"/>
    <w:rsid w:val="008079F1"/>
    <w:rsid w:val="00807A82"/>
    <w:rsid w:val="008110DA"/>
    <w:rsid w:val="008117E7"/>
    <w:rsid w:val="00812852"/>
    <w:rsid w:val="008138BF"/>
    <w:rsid w:val="00813EE9"/>
    <w:rsid w:val="008143B6"/>
    <w:rsid w:val="008143E4"/>
    <w:rsid w:val="008149EE"/>
    <w:rsid w:val="00814E27"/>
    <w:rsid w:val="008155B6"/>
    <w:rsid w:val="008157CB"/>
    <w:rsid w:val="00815B1F"/>
    <w:rsid w:val="00815CE3"/>
    <w:rsid w:val="00816DD3"/>
    <w:rsid w:val="00816EB5"/>
    <w:rsid w:val="00820D82"/>
    <w:rsid w:val="00820EA2"/>
    <w:rsid w:val="00821853"/>
    <w:rsid w:val="00821DAE"/>
    <w:rsid w:val="008222E4"/>
    <w:rsid w:val="00822A7C"/>
    <w:rsid w:val="008236CD"/>
    <w:rsid w:val="008239D4"/>
    <w:rsid w:val="00823D07"/>
    <w:rsid w:val="00823FBD"/>
    <w:rsid w:val="008248F8"/>
    <w:rsid w:val="00824C13"/>
    <w:rsid w:val="00824DBB"/>
    <w:rsid w:val="0082514C"/>
    <w:rsid w:val="008258EA"/>
    <w:rsid w:val="008258FE"/>
    <w:rsid w:val="00825B9D"/>
    <w:rsid w:val="00825C7C"/>
    <w:rsid w:val="00826ECD"/>
    <w:rsid w:val="00827374"/>
    <w:rsid w:val="0082743B"/>
    <w:rsid w:val="00827602"/>
    <w:rsid w:val="00827B67"/>
    <w:rsid w:val="008309EC"/>
    <w:rsid w:val="00831991"/>
    <w:rsid w:val="00831B32"/>
    <w:rsid w:val="008325B0"/>
    <w:rsid w:val="00833242"/>
    <w:rsid w:val="008339E1"/>
    <w:rsid w:val="00833A66"/>
    <w:rsid w:val="008340E6"/>
    <w:rsid w:val="0083489E"/>
    <w:rsid w:val="00834C60"/>
    <w:rsid w:val="00834FB2"/>
    <w:rsid w:val="00835407"/>
    <w:rsid w:val="008367EE"/>
    <w:rsid w:val="00836F3D"/>
    <w:rsid w:val="00836FB9"/>
    <w:rsid w:val="008378E8"/>
    <w:rsid w:val="0084020A"/>
    <w:rsid w:val="00840B65"/>
    <w:rsid w:val="008410B0"/>
    <w:rsid w:val="008414BD"/>
    <w:rsid w:val="0084205F"/>
    <w:rsid w:val="008423CE"/>
    <w:rsid w:val="0084241C"/>
    <w:rsid w:val="0084259B"/>
    <w:rsid w:val="00842EC8"/>
    <w:rsid w:val="008434BD"/>
    <w:rsid w:val="0084364E"/>
    <w:rsid w:val="008436F0"/>
    <w:rsid w:val="00843C2A"/>
    <w:rsid w:val="00843F2B"/>
    <w:rsid w:val="008443BD"/>
    <w:rsid w:val="00845A7E"/>
    <w:rsid w:val="00845D3A"/>
    <w:rsid w:val="00846D6D"/>
    <w:rsid w:val="00846D88"/>
    <w:rsid w:val="00846E91"/>
    <w:rsid w:val="00850EAC"/>
    <w:rsid w:val="0085120C"/>
    <w:rsid w:val="008519BC"/>
    <w:rsid w:val="00851C71"/>
    <w:rsid w:val="00851E9B"/>
    <w:rsid w:val="00852C35"/>
    <w:rsid w:val="008538F5"/>
    <w:rsid w:val="00853BBE"/>
    <w:rsid w:val="00855058"/>
    <w:rsid w:val="00855643"/>
    <w:rsid w:val="00855917"/>
    <w:rsid w:val="00855D25"/>
    <w:rsid w:val="00856887"/>
    <w:rsid w:val="00856A2C"/>
    <w:rsid w:val="00857D58"/>
    <w:rsid w:val="00860515"/>
    <w:rsid w:val="008613FC"/>
    <w:rsid w:val="008617C5"/>
    <w:rsid w:val="00861E9A"/>
    <w:rsid w:val="00862D23"/>
    <w:rsid w:val="008633FD"/>
    <w:rsid w:val="00863540"/>
    <w:rsid w:val="00863A36"/>
    <w:rsid w:val="00863EA2"/>
    <w:rsid w:val="00865512"/>
    <w:rsid w:val="00866903"/>
    <w:rsid w:val="00866915"/>
    <w:rsid w:val="00866D90"/>
    <w:rsid w:val="00866FC9"/>
    <w:rsid w:val="008671E6"/>
    <w:rsid w:val="0086738B"/>
    <w:rsid w:val="008674B1"/>
    <w:rsid w:val="00867EA3"/>
    <w:rsid w:val="008708BC"/>
    <w:rsid w:val="00870BD4"/>
    <w:rsid w:val="00870FC5"/>
    <w:rsid w:val="00871174"/>
    <w:rsid w:val="00872042"/>
    <w:rsid w:val="008733B1"/>
    <w:rsid w:val="00874248"/>
    <w:rsid w:val="00874436"/>
    <w:rsid w:val="0087449B"/>
    <w:rsid w:val="00875336"/>
    <w:rsid w:val="0087579F"/>
    <w:rsid w:val="0087613F"/>
    <w:rsid w:val="0087619F"/>
    <w:rsid w:val="0087780E"/>
    <w:rsid w:val="00877B90"/>
    <w:rsid w:val="00877C71"/>
    <w:rsid w:val="00881953"/>
    <w:rsid w:val="008823D7"/>
    <w:rsid w:val="008825A5"/>
    <w:rsid w:val="00883A32"/>
    <w:rsid w:val="00884ABE"/>
    <w:rsid w:val="00885A78"/>
    <w:rsid w:val="0088610D"/>
    <w:rsid w:val="00886459"/>
    <w:rsid w:val="00887509"/>
    <w:rsid w:val="00887BFE"/>
    <w:rsid w:val="00890173"/>
    <w:rsid w:val="0089023D"/>
    <w:rsid w:val="0089047C"/>
    <w:rsid w:val="008905FA"/>
    <w:rsid w:val="00890B0F"/>
    <w:rsid w:val="00891B6B"/>
    <w:rsid w:val="00892825"/>
    <w:rsid w:val="00893439"/>
    <w:rsid w:val="00894402"/>
    <w:rsid w:val="0089462D"/>
    <w:rsid w:val="008946FF"/>
    <w:rsid w:val="00894CB2"/>
    <w:rsid w:val="008957E1"/>
    <w:rsid w:val="00895962"/>
    <w:rsid w:val="008963C9"/>
    <w:rsid w:val="008974D3"/>
    <w:rsid w:val="00897BDF"/>
    <w:rsid w:val="008A0544"/>
    <w:rsid w:val="008A156C"/>
    <w:rsid w:val="008A1C0C"/>
    <w:rsid w:val="008A24E9"/>
    <w:rsid w:val="008A27DC"/>
    <w:rsid w:val="008A31EF"/>
    <w:rsid w:val="008A3517"/>
    <w:rsid w:val="008A3848"/>
    <w:rsid w:val="008A38D0"/>
    <w:rsid w:val="008A3C0B"/>
    <w:rsid w:val="008A3C92"/>
    <w:rsid w:val="008A46C0"/>
    <w:rsid w:val="008A4E9F"/>
    <w:rsid w:val="008A50A5"/>
    <w:rsid w:val="008A53FC"/>
    <w:rsid w:val="008A665B"/>
    <w:rsid w:val="008A7603"/>
    <w:rsid w:val="008A78B9"/>
    <w:rsid w:val="008A7DBE"/>
    <w:rsid w:val="008B069C"/>
    <w:rsid w:val="008B099C"/>
    <w:rsid w:val="008B0EE6"/>
    <w:rsid w:val="008B1F5B"/>
    <w:rsid w:val="008B3864"/>
    <w:rsid w:val="008B3A21"/>
    <w:rsid w:val="008B468B"/>
    <w:rsid w:val="008B52A8"/>
    <w:rsid w:val="008B54D8"/>
    <w:rsid w:val="008B579C"/>
    <w:rsid w:val="008B5F2B"/>
    <w:rsid w:val="008B5F46"/>
    <w:rsid w:val="008B635D"/>
    <w:rsid w:val="008B64F7"/>
    <w:rsid w:val="008B6AF8"/>
    <w:rsid w:val="008B7C2E"/>
    <w:rsid w:val="008B7E6D"/>
    <w:rsid w:val="008C084D"/>
    <w:rsid w:val="008C10A5"/>
    <w:rsid w:val="008C118D"/>
    <w:rsid w:val="008C2225"/>
    <w:rsid w:val="008C23CE"/>
    <w:rsid w:val="008C273A"/>
    <w:rsid w:val="008C30AB"/>
    <w:rsid w:val="008C3F87"/>
    <w:rsid w:val="008C56E6"/>
    <w:rsid w:val="008C5B5C"/>
    <w:rsid w:val="008C5E15"/>
    <w:rsid w:val="008C5FF6"/>
    <w:rsid w:val="008C6918"/>
    <w:rsid w:val="008C7E6C"/>
    <w:rsid w:val="008D0556"/>
    <w:rsid w:val="008D0E58"/>
    <w:rsid w:val="008D105D"/>
    <w:rsid w:val="008D15DC"/>
    <w:rsid w:val="008D2BCE"/>
    <w:rsid w:val="008D3451"/>
    <w:rsid w:val="008D3905"/>
    <w:rsid w:val="008D4416"/>
    <w:rsid w:val="008D5371"/>
    <w:rsid w:val="008D698E"/>
    <w:rsid w:val="008D6C2B"/>
    <w:rsid w:val="008D70AA"/>
    <w:rsid w:val="008D7176"/>
    <w:rsid w:val="008D7F85"/>
    <w:rsid w:val="008E0015"/>
    <w:rsid w:val="008E0A8B"/>
    <w:rsid w:val="008E0EF1"/>
    <w:rsid w:val="008E1607"/>
    <w:rsid w:val="008E2D4A"/>
    <w:rsid w:val="008E386E"/>
    <w:rsid w:val="008E3F61"/>
    <w:rsid w:val="008E4272"/>
    <w:rsid w:val="008E46C8"/>
    <w:rsid w:val="008E4C04"/>
    <w:rsid w:val="008E4DF2"/>
    <w:rsid w:val="008E4E4E"/>
    <w:rsid w:val="008E5133"/>
    <w:rsid w:val="008E5192"/>
    <w:rsid w:val="008E5296"/>
    <w:rsid w:val="008E61DF"/>
    <w:rsid w:val="008E63A8"/>
    <w:rsid w:val="008E6438"/>
    <w:rsid w:val="008E78BA"/>
    <w:rsid w:val="008F0A33"/>
    <w:rsid w:val="008F1A27"/>
    <w:rsid w:val="008F2020"/>
    <w:rsid w:val="008F2096"/>
    <w:rsid w:val="008F215A"/>
    <w:rsid w:val="008F229A"/>
    <w:rsid w:val="008F3701"/>
    <w:rsid w:val="008F407B"/>
    <w:rsid w:val="008F4E6A"/>
    <w:rsid w:val="008F562B"/>
    <w:rsid w:val="008F58E8"/>
    <w:rsid w:val="008F7030"/>
    <w:rsid w:val="009018E5"/>
    <w:rsid w:val="00902927"/>
    <w:rsid w:val="00902D50"/>
    <w:rsid w:val="00903940"/>
    <w:rsid w:val="00903A60"/>
    <w:rsid w:val="00904190"/>
    <w:rsid w:val="009049F1"/>
    <w:rsid w:val="0090522A"/>
    <w:rsid w:val="0090527F"/>
    <w:rsid w:val="009052F3"/>
    <w:rsid w:val="00906105"/>
    <w:rsid w:val="00906705"/>
    <w:rsid w:val="00906A6B"/>
    <w:rsid w:val="009100F5"/>
    <w:rsid w:val="00910A50"/>
    <w:rsid w:val="009111E2"/>
    <w:rsid w:val="00911A69"/>
    <w:rsid w:val="0091248D"/>
    <w:rsid w:val="00912B35"/>
    <w:rsid w:val="00913094"/>
    <w:rsid w:val="00914421"/>
    <w:rsid w:val="009145CD"/>
    <w:rsid w:val="0091476C"/>
    <w:rsid w:val="00914AE9"/>
    <w:rsid w:val="00915043"/>
    <w:rsid w:val="009160C0"/>
    <w:rsid w:val="00916340"/>
    <w:rsid w:val="00917385"/>
    <w:rsid w:val="00920CAB"/>
    <w:rsid w:val="009212D0"/>
    <w:rsid w:val="009212EC"/>
    <w:rsid w:val="00921977"/>
    <w:rsid w:val="00923700"/>
    <w:rsid w:val="0092398C"/>
    <w:rsid w:val="00923BC1"/>
    <w:rsid w:val="00924515"/>
    <w:rsid w:val="00924B7E"/>
    <w:rsid w:val="0092529D"/>
    <w:rsid w:val="00925E38"/>
    <w:rsid w:val="009265AF"/>
    <w:rsid w:val="009276B3"/>
    <w:rsid w:val="00927894"/>
    <w:rsid w:val="00930120"/>
    <w:rsid w:val="009303F1"/>
    <w:rsid w:val="00931364"/>
    <w:rsid w:val="0093138B"/>
    <w:rsid w:val="00931B7C"/>
    <w:rsid w:val="00933182"/>
    <w:rsid w:val="00933AFF"/>
    <w:rsid w:val="00934E5A"/>
    <w:rsid w:val="009354B0"/>
    <w:rsid w:val="0093586E"/>
    <w:rsid w:val="00935C20"/>
    <w:rsid w:val="00935F4E"/>
    <w:rsid w:val="0093685B"/>
    <w:rsid w:val="00936F24"/>
    <w:rsid w:val="00937551"/>
    <w:rsid w:val="00937F6E"/>
    <w:rsid w:val="009403FE"/>
    <w:rsid w:val="00940C35"/>
    <w:rsid w:val="00940F1E"/>
    <w:rsid w:val="0094108E"/>
    <w:rsid w:val="00942010"/>
    <w:rsid w:val="00942BBA"/>
    <w:rsid w:val="00944FA2"/>
    <w:rsid w:val="0094504B"/>
    <w:rsid w:val="00945CCE"/>
    <w:rsid w:val="00946849"/>
    <w:rsid w:val="00947045"/>
    <w:rsid w:val="0094719F"/>
    <w:rsid w:val="00947EB5"/>
    <w:rsid w:val="00950BCB"/>
    <w:rsid w:val="00950C35"/>
    <w:rsid w:val="00951D0F"/>
    <w:rsid w:val="00951E51"/>
    <w:rsid w:val="009526C5"/>
    <w:rsid w:val="00952B46"/>
    <w:rsid w:val="00953472"/>
    <w:rsid w:val="00953757"/>
    <w:rsid w:val="0095397C"/>
    <w:rsid w:val="009541B2"/>
    <w:rsid w:val="009544D7"/>
    <w:rsid w:val="009553AC"/>
    <w:rsid w:val="00955DC0"/>
    <w:rsid w:val="00957290"/>
    <w:rsid w:val="00957830"/>
    <w:rsid w:val="00957B81"/>
    <w:rsid w:val="00957E3F"/>
    <w:rsid w:val="00957E66"/>
    <w:rsid w:val="00960102"/>
    <w:rsid w:val="009601ED"/>
    <w:rsid w:val="00960964"/>
    <w:rsid w:val="00960FFB"/>
    <w:rsid w:val="00961640"/>
    <w:rsid w:val="009622D7"/>
    <w:rsid w:val="009624EA"/>
    <w:rsid w:val="0096278C"/>
    <w:rsid w:val="00962D77"/>
    <w:rsid w:val="00962E4F"/>
    <w:rsid w:val="0096312A"/>
    <w:rsid w:val="00963428"/>
    <w:rsid w:val="00963BCD"/>
    <w:rsid w:val="009644D5"/>
    <w:rsid w:val="0096468A"/>
    <w:rsid w:val="0096556C"/>
    <w:rsid w:val="00965D0E"/>
    <w:rsid w:val="00967098"/>
    <w:rsid w:val="00967DF2"/>
    <w:rsid w:val="00970E56"/>
    <w:rsid w:val="009719DF"/>
    <w:rsid w:val="00972831"/>
    <w:rsid w:val="00974949"/>
    <w:rsid w:val="009762E8"/>
    <w:rsid w:val="009778E5"/>
    <w:rsid w:val="00977C6D"/>
    <w:rsid w:val="00980FCC"/>
    <w:rsid w:val="00982099"/>
    <w:rsid w:val="009830EE"/>
    <w:rsid w:val="00984E48"/>
    <w:rsid w:val="00985C12"/>
    <w:rsid w:val="00985C65"/>
    <w:rsid w:val="009861C5"/>
    <w:rsid w:val="00987534"/>
    <w:rsid w:val="00987663"/>
    <w:rsid w:val="0099184E"/>
    <w:rsid w:val="00992CAD"/>
    <w:rsid w:val="00993FA6"/>
    <w:rsid w:val="00994002"/>
    <w:rsid w:val="00995A15"/>
    <w:rsid w:val="0099661F"/>
    <w:rsid w:val="00996620"/>
    <w:rsid w:val="00996D48"/>
    <w:rsid w:val="00996F48"/>
    <w:rsid w:val="00997409"/>
    <w:rsid w:val="0099786C"/>
    <w:rsid w:val="00997DCB"/>
    <w:rsid w:val="009A03E4"/>
    <w:rsid w:val="009A0A89"/>
    <w:rsid w:val="009A0D06"/>
    <w:rsid w:val="009A0F1D"/>
    <w:rsid w:val="009A1759"/>
    <w:rsid w:val="009A1B30"/>
    <w:rsid w:val="009A2D55"/>
    <w:rsid w:val="009A2FAC"/>
    <w:rsid w:val="009A3445"/>
    <w:rsid w:val="009A3674"/>
    <w:rsid w:val="009A5636"/>
    <w:rsid w:val="009A59DC"/>
    <w:rsid w:val="009A5C5B"/>
    <w:rsid w:val="009A7288"/>
    <w:rsid w:val="009A7963"/>
    <w:rsid w:val="009B025D"/>
    <w:rsid w:val="009B03FF"/>
    <w:rsid w:val="009B04A5"/>
    <w:rsid w:val="009B09D6"/>
    <w:rsid w:val="009B0F6A"/>
    <w:rsid w:val="009B1657"/>
    <w:rsid w:val="009B25E3"/>
    <w:rsid w:val="009B2D62"/>
    <w:rsid w:val="009B2E09"/>
    <w:rsid w:val="009B3553"/>
    <w:rsid w:val="009B3A6F"/>
    <w:rsid w:val="009B3D08"/>
    <w:rsid w:val="009B3E95"/>
    <w:rsid w:val="009B439D"/>
    <w:rsid w:val="009B4599"/>
    <w:rsid w:val="009B4678"/>
    <w:rsid w:val="009B4709"/>
    <w:rsid w:val="009B4AC5"/>
    <w:rsid w:val="009B6933"/>
    <w:rsid w:val="009B6BA5"/>
    <w:rsid w:val="009B6C2F"/>
    <w:rsid w:val="009B7152"/>
    <w:rsid w:val="009C0B8F"/>
    <w:rsid w:val="009C114A"/>
    <w:rsid w:val="009C211E"/>
    <w:rsid w:val="009C27FD"/>
    <w:rsid w:val="009C290F"/>
    <w:rsid w:val="009C3533"/>
    <w:rsid w:val="009C378B"/>
    <w:rsid w:val="009C4082"/>
    <w:rsid w:val="009C513B"/>
    <w:rsid w:val="009C5C4D"/>
    <w:rsid w:val="009C5FA7"/>
    <w:rsid w:val="009C66C4"/>
    <w:rsid w:val="009C71E1"/>
    <w:rsid w:val="009D005C"/>
    <w:rsid w:val="009D0685"/>
    <w:rsid w:val="009D0D81"/>
    <w:rsid w:val="009D1598"/>
    <w:rsid w:val="009D2F25"/>
    <w:rsid w:val="009D364B"/>
    <w:rsid w:val="009D3D73"/>
    <w:rsid w:val="009D452F"/>
    <w:rsid w:val="009D491E"/>
    <w:rsid w:val="009D4C61"/>
    <w:rsid w:val="009D4DCC"/>
    <w:rsid w:val="009D5653"/>
    <w:rsid w:val="009D647A"/>
    <w:rsid w:val="009D7315"/>
    <w:rsid w:val="009E0BCF"/>
    <w:rsid w:val="009E1C4B"/>
    <w:rsid w:val="009E1CBC"/>
    <w:rsid w:val="009E1EBC"/>
    <w:rsid w:val="009E2B24"/>
    <w:rsid w:val="009E3857"/>
    <w:rsid w:val="009E4088"/>
    <w:rsid w:val="009E5F59"/>
    <w:rsid w:val="009E628C"/>
    <w:rsid w:val="009E6778"/>
    <w:rsid w:val="009F0E2A"/>
    <w:rsid w:val="009F11D1"/>
    <w:rsid w:val="009F1563"/>
    <w:rsid w:val="009F2CFC"/>
    <w:rsid w:val="009F3252"/>
    <w:rsid w:val="009F33B7"/>
    <w:rsid w:val="009F3B10"/>
    <w:rsid w:val="009F4713"/>
    <w:rsid w:val="009F4EAC"/>
    <w:rsid w:val="009F5CA9"/>
    <w:rsid w:val="009F5F46"/>
    <w:rsid w:val="009F6164"/>
    <w:rsid w:val="009F6FFC"/>
    <w:rsid w:val="009F7866"/>
    <w:rsid w:val="009F7FEF"/>
    <w:rsid w:val="00A01109"/>
    <w:rsid w:val="00A01584"/>
    <w:rsid w:val="00A0190B"/>
    <w:rsid w:val="00A01EDD"/>
    <w:rsid w:val="00A03CD2"/>
    <w:rsid w:val="00A057E2"/>
    <w:rsid w:val="00A059CA"/>
    <w:rsid w:val="00A05E72"/>
    <w:rsid w:val="00A06838"/>
    <w:rsid w:val="00A06BA4"/>
    <w:rsid w:val="00A06C3A"/>
    <w:rsid w:val="00A07069"/>
    <w:rsid w:val="00A07A77"/>
    <w:rsid w:val="00A07B3A"/>
    <w:rsid w:val="00A07B54"/>
    <w:rsid w:val="00A07C41"/>
    <w:rsid w:val="00A07C6A"/>
    <w:rsid w:val="00A10B6D"/>
    <w:rsid w:val="00A10F8E"/>
    <w:rsid w:val="00A11F48"/>
    <w:rsid w:val="00A12D99"/>
    <w:rsid w:val="00A14265"/>
    <w:rsid w:val="00A14926"/>
    <w:rsid w:val="00A14B7F"/>
    <w:rsid w:val="00A153B6"/>
    <w:rsid w:val="00A156CF"/>
    <w:rsid w:val="00A15A8C"/>
    <w:rsid w:val="00A15F4C"/>
    <w:rsid w:val="00A1604D"/>
    <w:rsid w:val="00A177E8"/>
    <w:rsid w:val="00A17DF6"/>
    <w:rsid w:val="00A20516"/>
    <w:rsid w:val="00A20CAF"/>
    <w:rsid w:val="00A211DB"/>
    <w:rsid w:val="00A22689"/>
    <w:rsid w:val="00A227BF"/>
    <w:rsid w:val="00A2362E"/>
    <w:rsid w:val="00A243A4"/>
    <w:rsid w:val="00A25E14"/>
    <w:rsid w:val="00A260F4"/>
    <w:rsid w:val="00A266B6"/>
    <w:rsid w:val="00A27250"/>
    <w:rsid w:val="00A275FC"/>
    <w:rsid w:val="00A27712"/>
    <w:rsid w:val="00A30842"/>
    <w:rsid w:val="00A30ACE"/>
    <w:rsid w:val="00A313FD"/>
    <w:rsid w:val="00A329B4"/>
    <w:rsid w:val="00A3376D"/>
    <w:rsid w:val="00A33C39"/>
    <w:rsid w:val="00A3448A"/>
    <w:rsid w:val="00A344C1"/>
    <w:rsid w:val="00A361C8"/>
    <w:rsid w:val="00A3662B"/>
    <w:rsid w:val="00A36667"/>
    <w:rsid w:val="00A367EC"/>
    <w:rsid w:val="00A3688C"/>
    <w:rsid w:val="00A374B8"/>
    <w:rsid w:val="00A375BB"/>
    <w:rsid w:val="00A37ACD"/>
    <w:rsid w:val="00A37B57"/>
    <w:rsid w:val="00A37CC2"/>
    <w:rsid w:val="00A40093"/>
    <w:rsid w:val="00A401EF"/>
    <w:rsid w:val="00A409AA"/>
    <w:rsid w:val="00A40BD4"/>
    <w:rsid w:val="00A40E43"/>
    <w:rsid w:val="00A40FD9"/>
    <w:rsid w:val="00A411A5"/>
    <w:rsid w:val="00A41291"/>
    <w:rsid w:val="00A42EFB"/>
    <w:rsid w:val="00A43B77"/>
    <w:rsid w:val="00A4462F"/>
    <w:rsid w:val="00A456A1"/>
    <w:rsid w:val="00A47CF4"/>
    <w:rsid w:val="00A515A6"/>
    <w:rsid w:val="00A51758"/>
    <w:rsid w:val="00A53700"/>
    <w:rsid w:val="00A54657"/>
    <w:rsid w:val="00A5473D"/>
    <w:rsid w:val="00A55FF9"/>
    <w:rsid w:val="00A57A7C"/>
    <w:rsid w:val="00A60708"/>
    <w:rsid w:val="00A622CC"/>
    <w:rsid w:val="00A629CC"/>
    <w:rsid w:val="00A62EA2"/>
    <w:rsid w:val="00A64665"/>
    <w:rsid w:val="00A64923"/>
    <w:rsid w:val="00A64CE4"/>
    <w:rsid w:val="00A64E82"/>
    <w:rsid w:val="00A64F8D"/>
    <w:rsid w:val="00A655BF"/>
    <w:rsid w:val="00A657E4"/>
    <w:rsid w:val="00A657F1"/>
    <w:rsid w:val="00A65C1B"/>
    <w:rsid w:val="00A661D4"/>
    <w:rsid w:val="00A669CE"/>
    <w:rsid w:val="00A670C0"/>
    <w:rsid w:val="00A70405"/>
    <w:rsid w:val="00A71438"/>
    <w:rsid w:val="00A71D07"/>
    <w:rsid w:val="00A74CEA"/>
    <w:rsid w:val="00A74FC6"/>
    <w:rsid w:val="00A762A9"/>
    <w:rsid w:val="00A76BFB"/>
    <w:rsid w:val="00A76E5F"/>
    <w:rsid w:val="00A771F7"/>
    <w:rsid w:val="00A779C6"/>
    <w:rsid w:val="00A80EC9"/>
    <w:rsid w:val="00A812BF"/>
    <w:rsid w:val="00A818FD"/>
    <w:rsid w:val="00A82A80"/>
    <w:rsid w:val="00A82AAD"/>
    <w:rsid w:val="00A82D89"/>
    <w:rsid w:val="00A82FD6"/>
    <w:rsid w:val="00A8301C"/>
    <w:rsid w:val="00A8350F"/>
    <w:rsid w:val="00A84435"/>
    <w:rsid w:val="00A85318"/>
    <w:rsid w:val="00A85A06"/>
    <w:rsid w:val="00A85BD7"/>
    <w:rsid w:val="00A86F6E"/>
    <w:rsid w:val="00A87108"/>
    <w:rsid w:val="00A90B5F"/>
    <w:rsid w:val="00A90DC9"/>
    <w:rsid w:val="00A90E85"/>
    <w:rsid w:val="00A90FA9"/>
    <w:rsid w:val="00A912D1"/>
    <w:rsid w:val="00A91492"/>
    <w:rsid w:val="00A915A0"/>
    <w:rsid w:val="00A92181"/>
    <w:rsid w:val="00A92B2A"/>
    <w:rsid w:val="00A92DE6"/>
    <w:rsid w:val="00A94285"/>
    <w:rsid w:val="00A948DA"/>
    <w:rsid w:val="00A95D59"/>
    <w:rsid w:val="00A96186"/>
    <w:rsid w:val="00A96245"/>
    <w:rsid w:val="00A9626D"/>
    <w:rsid w:val="00A9672F"/>
    <w:rsid w:val="00A9682F"/>
    <w:rsid w:val="00A96C16"/>
    <w:rsid w:val="00A96D22"/>
    <w:rsid w:val="00A973DC"/>
    <w:rsid w:val="00A97592"/>
    <w:rsid w:val="00A979C0"/>
    <w:rsid w:val="00AA1829"/>
    <w:rsid w:val="00AA23F2"/>
    <w:rsid w:val="00AA25D6"/>
    <w:rsid w:val="00AA3A98"/>
    <w:rsid w:val="00AA3C9E"/>
    <w:rsid w:val="00AA3E8A"/>
    <w:rsid w:val="00AA3F9A"/>
    <w:rsid w:val="00AA40EB"/>
    <w:rsid w:val="00AA4260"/>
    <w:rsid w:val="00AA510F"/>
    <w:rsid w:val="00AA64E6"/>
    <w:rsid w:val="00AA657A"/>
    <w:rsid w:val="00AA6FC4"/>
    <w:rsid w:val="00AA7F13"/>
    <w:rsid w:val="00AB0D58"/>
    <w:rsid w:val="00AB1140"/>
    <w:rsid w:val="00AB2FFA"/>
    <w:rsid w:val="00AB3179"/>
    <w:rsid w:val="00AB350E"/>
    <w:rsid w:val="00AB3D40"/>
    <w:rsid w:val="00AB412D"/>
    <w:rsid w:val="00AB418B"/>
    <w:rsid w:val="00AB4B38"/>
    <w:rsid w:val="00AB5616"/>
    <w:rsid w:val="00AB5A89"/>
    <w:rsid w:val="00AB5E76"/>
    <w:rsid w:val="00AB643F"/>
    <w:rsid w:val="00AB6975"/>
    <w:rsid w:val="00AB6D80"/>
    <w:rsid w:val="00AB6F9A"/>
    <w:rsid w:val="00AB733F"/>
    <w:rsid w:val="00AB76F4"/>
    <w:rsid w:val="00AB7830"/>
    <w:rsid w:val="00AB79BE"/>
    <w:rsid w:val="00AC0911"/>
    <w:rsid w:val="00AC21AF"/>
    <w:rsid w:val="00AC22C6"/>
    <w:rsid w:val="00AC24EF"/>
    <w:rsid w:val="00AC2AB6"/>
    <w:rsid w:val="00AC2CA3"/>
    <w:rsid w:val="00AC2D6E"/>
    <w:rsid w:val="00AC2D72"/>
    <w:rsid w:val="00AC3EA1"/>
    <w:rsid w:val="00AC4BCB"/>
    <w:rsid w:val="00AC5266"/>
    <w:rsid w:val="00AC5867"/>
    <w:rsid w:val="00AC642C"/>
    <w:rsid w:val="00AC64AD"/>
    <w:rsid w:val="00AC6BC9"/>
    <w:rsid w:val="00AC70A2"/>
    <w:rsid w:val="00AC78FE"/>
    <w:rsid w:val="00AD0C64"/>
    <w:rsid w:val="00AD22F3"/>
    <w:rsid w:val="00AD2A6F"/>
    <w:rsid w:val="00AD307A"/>
    <w:rsid w:val="00AD357C"/>
    <w:rsid w:val="00AD36EB"/>
    <w:rsid w:val="00AD468F"/>
    <w:rsid w:val="00AD48AC"/>
    <w:rsid w:val="00AD577C"/>
    <w:rsid w:val="00AD5A73"/>
    <w:rsid w:val="00AD6D54"/>
    <w:rsid w:val="00AD7464"/>
    <w:rsid w:val="00AE0AEE"/>
    <w:rsid w:val="00AE0FA8"/>
    <w:rsid w:val="00AE1F34"/>
    <w:rsid w:val="00AE2442"/>
    <w:rsid w:val="00AE2897"/>
    <w:rsid w:val="00AE28C9"/>
    <w:rsid w:val="00AE3320"/>
    <w:rsid w:val="00AE36AD"/>
    <w:rsid w:val="00AE3869"/>
    <w:rsid w:val="00AE3892"/>
    <w:rsid w:val="00AE3D09"/>
    <w:rsid w:val="00AE4595"/>
    <w:rsid w:val="00AE57BA"/>
    <w:rsid w:val="00AE5BB6"/>
    <w:rsid w:val="00AE5D52"/>
    <w:rsid w:val="00AE65B1"/>
    <w:rsid w:val="00AF0D10"/>
    <w:rsid w:val="00AF103F"/>
    <w:rsid w:val="00AF112F"/>
    <w:rsid w:val="00AF26BC"/>
    <w:rsid w:val="00AF2818"/>
    <w:rsid w:val="00AF2F41"/>
    <w:rsid w:val="00AF473D"/>
    <w:rsid w:val="00AF4AA0"/>
    <w:rsid w:val="00AF514C"/>
    <w:rsid w:val="00AF514D"/>
    <w:rsid w:val="00AF56AE"/>
    <w:rsid w:val="00AF572D"/>
    <w:rsid w:val="00AF646D"/>
    <w:rsid w:val="00AF68E5"/>
    <w:rsid w:val="00AF6CD9"/>
    <w:rsid w:val="00AF711A"/>
    <w:rsid w:val="00AF7DC1"/>
    <w:rsid w:val="00B00897"/>
    <w:rsid w:val="00B013DC"/>
    <w:rsid w:val="00B02258"/>
    <w:rsid w:val="00B02648"/>
    <w:rsid w:val="00B04B32"/>
    <w:rsid w:val="00B04F87"/>
    <w:rsid w:val="00B0525F"/>
    <w:rsid w:val="00B0554E"/>
    <w:rsid w:val="00B056C4"/>
    <w:rsid w:val="00B1016D"/>
    <w:rsid w:val="00B11D8D"/>
    <w:rsid w:val="00B11F5E"/>
    <w:rsid w:val="00B12B8D"/>
    <w:rsid w:val="00B13FBD"/>
    <w:rsid w:val="00B145B6"/>
    <w:rsid w:val="00B14B09"/>
    <w:rsid w:val="00B14E65"/>
    <w:rsid w:val="00B153D0"/>
    <w:rsid w:val="00B15450"/>
    <w:rsid w:val="00B15DE2"/>
    <w:rsid w:val="00B15E3C"/>
    <w:rsid w:val="00B17B43"/>
    <w:rsid w:val="00B20A61"/>
    <w:rsid w:val="00B21230"/>
    <w:rsid w:val="00B225AA"/>
    <w:rsid w:val="00B22EBA"/>
    <w:rsid w:val="00B240B1"/>
    <w:rsid w:val="00B2492B"/>
    <w:rsid w:val="00B25EC7"/>
    <w:rsid w:val="00B26EB9"/>
    <w:rsid w:val="00B277C2"/>
    <w:rsid w:val="00B27E50"/>
    <w:rsid w:val="00B300B9"/>
    <w:rsid w:val="00B30141"/>
    <w:rsid w:val="00B30BD9"/>
    <w:rsid w:val="00B314E5"/>
    <w:rsid w:val="00B31DE3"/>
    <w:rsid w:val="00B3203E"/>
    <w:rsid w:val="00B32481"/>
    <w:rsid w:val="00B32AE4"/>
    <w:rsid w:val="00B3335D"/>
    <w:rsid w:val="00B33524"/>
    <w:rsid w:val="00B33C9E"/>
    <w:rsid w:val="00B34083"/>
    <w:rsid w:val="00B35AB3"/>
    <w:rsid w:val="00B360A2"/>
    <w:rsid w:val="00B366AE"/>
    <w:rsid w:val="00B36894"/>
    <w:rsid w:val="00B36AE6"/>
    <w:rsid w:val="00B3713C"/>
    <w:rsid w:val="00B3747D"/>
    <w:rsid w:val="00B3772B"/>
    <w:rsid w:val="00B4053B"/>
    <w:rsid w:val="00B413D1"/>
    <w:rsid w:val="00B42566"/>
    <w:rsid w:val="00B425B4"/>
    <w:rsid w:val="00B4277E"/>
    <w:rsid w:val="00B43044"/>
    <w:rsid w:val="00B43568"/>
    <w:rsid w:val="00B448DC"/>
    <w:rsid w:val="00B455A2"/>
    <w:rsid w:val="00B465A4"/>
    <w:rsid w:val="00B4663B"/>
    <w:rsid w:val="00B46A2A"/>
    <w:rsid w:val="00B47976"/>
    <w:rsid w:val="00B50063"/>
    <w:rsid w:val="00B50A54"/>
    <w:rsid w:val="00B51211"/>
    <w:rsid w:val="00B51400"/>
    <w:rsid w:val="00B52079"/>
    <w:rsid w:val="00B520E5"/>
    <w:rsid w:val="00B5265B"/>
    <w:rsid w:val="00B54F5B"/>
    <w:rsid w:val="00B555DF"/>
    <w:rsid w:val="00B557B6"/>
    <w:rsid w:val="00B55E3B"/>
    <w:rsid w:val="00B5693D"/>
    <w:rsid w:val="00B575C0"/>
    <w:rsid w:val="00B5777A"/>
    <w:rsid w:val="00B60101"/>
    <w:rsid w:val="00B60A3D"/>
    <w:rsid w:val="00B60F46"/>
    <w:rsid w:val="00B612CF"/>
    <w:rsid w:val="00B62248"/>
    <w:rsid w:val="00B62DAB"/>
    <w:rsid w:val="00B631D0"/>
    <w:rsid w:val="00B64096"/>
    <w:rsid w:val="00B64B47"/>
    <w:rsid w:val="00B65338"/>
    <w:rsid w:val="00B65B23"/>
    <w:rsid w:val="00B6765E"/>
    <w:rsid w:val="00B67DB4"/>
    <w:rsid w:val="00B67F8E"/>
    <w:rsid w:val="00B70F0A"/>
    <w:rsid w:val="00B70F23"/>
    <w:rsid w:val="00B7179E"/>
    <w:rsid w:val="00B71902"/>
    <w:rsid w:val="00B72163"/>
    <w:rsid w:val="00B72AB5"/>
    <w:rsid w:val="00B72E34"/>
    <w:rsid w:val="00B73662"/>
    <w:rsid w:val="00B736C8"/>
    <w:rsid w:val="00B73B38"/>
    <w:rsid w:val="00B74A57"/>
    <w:rsid w:val="00B75C59"/>
    <w:rsid w:val="00B775F0"/>
    <w:rsid w:val="00B7784C"/>
    <w:rsid w:val="00B77C7D"/>
    <w:rsid w:val="00B80136"/>
    <w:rsid w:val="00B80407"/>
    <w:rsid w:val="00B80DFB"/>
    <w:rsid w:val="00B80E17"/>
    <w:rsid w:val="00B81220"/>
    <w:rsid w:val="00B813C3"/>
    <w:rsid w:val="00B82834"/>
    <w:rsid w:val="00B82A70"/>
    <w:rsid w:val="00B82C44"/>
    <w:rsid w:val="00B82F28"/>
    <w:rsid w:val="00B85811"/>
    <w:rsid w:val="00B85E90"/>
    <w:rsid w:val="00B867CD"/>
    <w:rsid w:val="00B86BC8"/>
    <w:rsid w:val="00B86DC9"/>
    <w:rsid w:val="00B9075C"/>
    <w:rsid w:val="00B91180"/>
    <w:rsid w:val="00B9169A"/>
    <w:rsid w:val="00B91B5C"/>
    <w:rsid w:val="00B91D07"/>
    <w:rsid w:val="00B92EC2"/>
    <w:rsid w:val="00B92F84"/>
    <w:rsid w:val="00B93ACE"/>
    <w:rsid w:val="00B93B42"/>
    <w:rsid w:val="00B94202"/>
    <w:rsid w:val="00B942F3"/>
    <w:rsid w:val="00B9476C"/>
    <w:rsid w:val="00B94E6E"/>
    <w:rsid w:val="00B9521E"/>
    <w:rsid w:val="00B96394"/>
    <w:rsid w:val="00B96FD7"/>
    <w:rsid w:val="00B971DE"/>
    <w:rsid w:val="00B9731A"/>
    <w:rsid w:val="00B97AB0"/>
    <w:rsid w:val="00B97F09"/>
    <w:rsid w:val="00BA0380"/>
    <w:rsid w:val="00BA03EF"/>
    <w:rsid w:val="00BA0644"/>
    <w:rsid w:val="00BA116F"/>
    <w:rsid w:val="00BA1EF7"/>
    <w:rsid w:val="00BA2B22"/>
    <w:rsid w:val="00BA3787"/>
    <w:rsid w:val="00BA448A"/>
    <w:rsid w:val="00BA44B0"/>
    <w:rsid w:val="00BA459C"/>
    <w:rsid w:val="00BA51D8"/>
    <w:rsid w:val="00BA52E6"/>
    <w:rsid w:val="00BA56F6"/>
    <w:rsid w:val="00BA6D61"/>
    <w:rsid w:val="00BA76EE"/>
    <w:rsid w:val="00BB0BF4"/>
    <w:rsid w:val="00BB1012"/>
    <w:rsid w:val="00BB20B4"/>
    <w:rsid w:val="00BB222F"/>
    <w:rsid w:val="00BB2A6F"/>
    <w:rsid w:val="00BB3213"/>
    <w:rsid w:val="00BB36DF"/>
    <w:rsid w:val="00BB3853"/>
    <w:rsid w:val="00BB4184"/>
    <w:rsid w:val="00BB481D"/>
    <w:rsid w:val="00BB4A19"/>
    <w:rsid w:val="00BB4B7D"/>
    <w:rsid w:val="00BB6A94"/>
    <w:rsid w:val="00BB6ADC"/>
    <w:rsid w:val="00BB711A"/>
    <w:rsid w:val="00BB7827"/>
    <w:rsid w:val="00BC01F9"/>
    <w:rsid w:val="00BC0816"/>
    <w:rsid w:val="00BC0CF6"/>
    <w:rsid w:val="00BC1C16"/>
    <w:rsid w:val="00BC26F1"/>
    <w:rsid w:val="00BC3618"/>
    <w:rsid w:val="00BC3643"/>
    <w:rsid w:val="00BC3F00"/>
    <w:rsid w:val="00BC4277"/>
    <w:rsid w:val="00BC50F0"/>
    <w:rsid w:val="00BC55D5"/>
    <w:rsid w:val="00BC5C1C"/>
    <w:rsid w:val="00BC6853"/>
    <w:rsid w:val="00BC6B1A"/>
    <w:rsid w:val="00BD0B61"/>
    <w:rsid w:val="00BD1867"/>
    <w:rsid w:val="00BD2142"/>
    <w:rsid w:val="00BD2371"/>
    <w:rsid w:val="00BD36BD"/>
    <w:rsid w:val="00BD3B76"/>
    <w:rsid w:val="00BD581E"/>
    <w:rsid w:val="00BD5B22"/>
    <w:rsid w:val="00BD5ED2"/>
    <w:rsid w:val="00BD5FA4"/>
    <w:rsid w:val="00BD6032"/>
    <w:rsid w:val="00BD61AC"/>
    <w:rsid w:val="00BD6279"/>
    <w:rsid w:val="00BD78D6"/>
    <w:rsid w:val="00BD7E39"/>
    <w:rsid w:val="00BE0BC3"/>
    <w:rsid w:val="00BE24F1"/>
    <w:rsid w:val="00BE2C8B"/>
    <w:rsid w:val="00BE3C60"/>
    <w:rsid w:val="00BE4BA5"/>
    <w:rsid w:val="00BE4BDD"/>
    <w:rsid w:val="00BE5DF6"/>
    <w:rsid w:val="00BE62C8"/>
    <w:rsid w:val="00BE64AD"/>
    <w:rsid w:val="00BE6737"/>
    <w:rsid w:val="00BE738A"/>
    <w:rsid w:val="00BE793B"/>
    <w:rsid w:val="00BE7FCA"/>
    <w:rsid w:val="00BE7FFB"/>
    <w:rsid w:val="00BF0E70"/>
    <w:rsid w:val="00BF125A"/>
    <w:rsid w:val="00BF160C"/>
    <w:rsid w:val="00BF1839"/>
    <w:rsid w:val="00BF26C1"/>
    <w:rsid w:val="00BF275B"/>
    <w:rsid w:val="00BF3648"/>
    <w:rsid w:val="00BF37DA"/>
    <w:rsid w:val="00BF3924"/>
    <w:rsid w:val="00BF3F70"/>
    <w:rsid w:val="00BF41EB"/>
    <w:rsid w:val="00BF4F89"/>
    <w:rsid w:val="00BF515C"/>
    <w:rsid w:val="00BF5161"/>
    <w:rsid w:val="00BF5EBA"/>
    <w:rsid w:val="00BF681F"/>
    <w:rsid w:val="00BF6FD0"/>
    <w:rsid w:val="00BF76AA"/>
    <w:rsid w:val="00C00457"/>
    <w:rsid w:val="00C00983"/>
    <w:rsid w:val="00C0142F"/>
    <w:rsid w:val="00C0180F"/>
    <w:rsid w:val="00C02271"/>
    <w:rsid w:val="00C03811"/>
    <w:rsid w:val="00C03855"/>
    <w:rsid w:val="00C03D87"/>
    <w:rsid w:val="00C04F7C"/>
    <w:rsid w:val="00C05045"/>
    <w:rsid w:val="00C052C8"/>
    <w:rsid w:val="00C05662"/>
    <w:rsid w:val="00C05786"/>
    <w:rsid w:val="00C0596F"/>
    <w:rsid w:val="00C05BDC"/>
    <w:rsid w:val="00C05CBD"/>
    <w:rsid w:val="00C06C22"/>
    <w:rsid w:val="00C074D7"/>
    <w:rsid w:val="00C1019A"/>
    <w:rsid w:val="00C10EB2"/>
    <w:rsid w:val="00C113FD"/>
    <w:rsid w:val="00C124C5"/>
    <w:rsid w:val="00C1289D"/>
    <w:rsid w:val="00C12BBD"/>
    <w:rsid w:val="00C12E3A"/>
    <w:rsid w:val="00C1319E"/>
    <w:rsid w:val="00C136DA"/>
    <w:rsid w:val="00C14132"/>
    <w:rsid w:val="00C16B5D"/>
    <w:rsid w:val="00C16C2B"/>
    <w:rsid w:val="00C17771"/>
    <w:rsid w:val="00C21995"/>
    <w:rsid w:val="00C220A7"/>
    <w:rsid w:val="00C220ED"/>
    <w:rsid w:val="00C223CF"/>
    <w:rsid w:val="00C2291A"/>
    <w:rsid w:val="00C22DC1"/>
    <w:rsid w:val="00C22DC6"/>
    <w:rsid w:val="00C244A7"/>
    <w:rsid w:val="00C263C8"/>
    <w:rsid w:val="00C266C3"/>
    <w:rsid w:val="00C277AF"/>
    <w:rsid w:val="00C30412"/>
    <w:rsid w:val="00C3190E"/>
    <w:rsid w:val="00C323C9"/>
    <w:rsid w:val="00C33E06"/>
    <w:rsid w:val="00C41DDB"/>
    <w:rsid w:val="00C421FE"/>
    <w:rsid w:val="00C428BC"/>
    <w:rsid w:val="00C431C5"/>
    <w:rsid w:val="00C43648"/>
    <w:rsid w:val="00C43AF1"/>
    <w:rsid w:val="00C43B13"/>
    <w:rsid w:val="00C43B95"/>
    <w:rsid w:val="00C441BC"/>
    <w:rsid w:val="00C45900"/>
    <w:rsid w:val="00C4612D"/>
    <w:rsid w:val="00C4677C"/>
    <w:rsid w:val="00C46D96"/>
    <w:rsid w:val="00C47228"/>
    <w:rsid w:val="00C47B3D"/>
    <w:rsid w:val="00C50D2D"/>
    <w:rsid w:val="00C51DE9"/>
    <w:rsid w:val="00C51E61"/>
    <w:rsid w:val="00C51ECE"/>
    <w:rsid w:val="00C521CE"/>
    <w:rsid w:val="00C5286F"/>
    <w:rsid w:val="00C538B8"/>
    <w:rsid w:val="00C54448"/>
    <w:rsid w:val="00C551B8"/>
    <w:rsid w:val="00C562A3"/>
    <w:rsid w:val="00C56B97"/>
    <w:rsid w:val="00C57053"/>
    <w:rsid w:val="00C61122"/>
    <w:rsid w:val="00C6138A"/>
    <w:rsid w:val="00C61EA3"/>
    <w:rsid w:val="00C62691"/>
    <w:rsid w:val="00C62F91"/>
    <w:rsid w:val="00C63D8B"/>
    <w:rsid w:val="00C63E03"/>
    <w:rsid w:val="00C64EEA"/>
    <w:rsid w:val="00C65997"/>
    <w:rsid w:val="00C65C8F"/>
    <w:rsid w:val="00C66AD4"/>
    <w:rsid w:val="00C66B47"/>
    <w:rsid w:val="00C675A0"/>
    <w:rsid w:val="00C67759"/>
    <w:rsid w:val="00C7041B"/>
    <w:rsid w:val="00C70982"/>
    <w:rsid w:val="00C70A39"/>
    <w:rsid w:val="00C71CB4"/>
    <w:rsid w:val="00C721DD"/>
    <w:rsid w:val="00C72278"/>
    <w:rsid w:val="00C72B24"/>
    <w:rsid w:val="00C73D48"/>
    <w:rsid w:val="00C75F07"/>
    <w:rsid w:val="00C77553"/>
    <w:rsid w:val="00C779D2"/>
    <w:rsid w:val="00C81043"/>
    <w:rsid w:val="00C820ED"/>
    <w:rsid w:val="00C82503"/>
    <w:rsid w:val="00C825D1"/>
    <w:rsid w:val="00C82CBB"/>
    <w:rsid w:val="00C846D7"/>
    <w:rsid w:val="00C852AE"/>
    <w:rsid w:val="00C855CA"/>
    <w:rsid w:val="00C857F9"/>
    <w:rsid w:val="00C858F5"/>
    <w:rsid w:val="00C85B84"/>
    <w:rsid w:val="00C85DE8"/>
    <w:rsid w:val="00C85F89"/>
    <w:rsid w:val="00C8643D"/>
    <w:rsid w:val="00C86F92"/>
    <w:rsid w:val="00C873DD"/>
    <w:rsid w:val="00C9034A"/>
    <w:rsid w:val="00C9043E"/>
    <w:rsid w:val="00C90892"/>
    <w:rsid w:val="00C90A5C"/>
    <w:rsid w:val="00C90F63"/>
    <w:rsid w:val="00C917EF"/>
    <w:rsid w:val="00C92D18"/>
    <w:rsid w:val="00C937EC"/>
    <w:rsid w:val="00C9383E"/>
    <w:rsid w:val="00C93EA4"/>
    <w:rsid w:val="00C94638"/>
    <w:rsid w:val="00C94C5A"/>
    <w:rsid w:val="00C95F69"/>
    <w:rsid w:val="00C96951"/>
    <w:rsid w:val="00C96E11"/>
    <w:rsid w:val="00C96FC4"/>
    <w:rsid w:val="00C973F9"/>
    <w:rsid w:val="00CA117B"/>
    <w:rsid w:val="00CA1A99"/>
    <w:rsid w:val="00CA3062"/>
    <w:rsid w:val="00CA45C4"/>
    <w:rsid w:val="00CA4FED"/>
    <w:rsid w:val="00CA516E"/>
    <w:rsid w:val="00CA55AB"/>
    <w:rsid w:val="00CA5CD6"/>
    <w:rsid w:val="00CA6727"/>
    <w:rsid w:val="00CA75D9"/>
    <w:rsid w:val="00CA7991"/>
    <w:rsid w:val="00CA7B22"/>
    <w:rsid w:val="00CA7C6A"/>
    <w:rsid w:val="00CB0A53"/>
    <w:rsid w:val="00CB0ACE"/>
    <w:rsid w:val="00CB1FBD"/>
    <w:rsid w:val="00CB24E5"/>
    <w:rsid w:val="00CB3688"/>
    <w:rsid w:val="00CB4720"/>
    <w:rsid w:val="00CB47F4"/>
    <w:rsid w:val="00CB4CB0"/>
    <w:rsid w:val="00CB5DA3"/>
    <w:rsid w:val="00CB62C9"/>
    <w:rsid w:val="00CB714B"/>
    <w:rsid w:val="00CB7567"/>
    <w:rsid w:val="00CC0764"/>
    <w:rsid w:val="00CC0A3E"/>
    <w:rsid w:val="00CC2FE9"/>
    <w:rsid w:val="00CC320E"/>
    <w:rsid w:val="00CC3E30"/>
    <w:rsid w:val="00CC43CD"/>
    <w:rsid w:val="00CC56C3"/>
    <w:rsid w:val="00CC59B4"/>
    <w:rsid w:val="00CC612E"/>
    <w:rsid w:val="00CC6217"/>
    <w:rsid w:val="00CC660D"/>
    <w:rsid w:val="00CC687A"/>
    <w:rsid w:val="00CC714E"/>
    <w:rsid w:val="00CC71F0"/>
    <w:rsid w:val="00CC759D"/>
    <w:rsid w:val="00CC765C"/>
    <w:rsid w:val="00CD079B"/>
    <w:rsid w:val="00CD099D"/>
    <w:rsid w:val="00CD11EB"/>
    <w:rsid w:val="00CD16DC"/>
    <w:rsid w:val="00CD16FE"/>
    <w:rsid w:val="00CD1791"/>
    <w:rsid w:val="00CD27D5"/>
    <w:rsid w:val="00CD304D"/>
    <w:rsid w:val="00CD351D"/>
    <w:rsid w:val="00CD3C21"/>
    <w:rsid w:val="00CD5FD1"/>
    <w:rsid w:val="00CD610A"/>
    <w:rsid w:val="00CD7179"/>
    <w:rsid w:val="00CD717C"/>
    <w:rsid w:val="00CD7D9C"/>
    <w:rsid w:val="00CD7DEC"/>
    <w:rsid w:val="00CE0D82"/>
    <w:rsid w:val="00CE1323"/>
    <w:rsid w:val="00CE14B3"/>
    <w:rsid w:val="00CE1522"/>
    <w:rsid w:val="00CE2763"/>
    <w:rsid w:val="00CE36B1"/>
    <w:rsid w:val="00CE442B"/>
    <w:rsid w:val="00CE5131"/>
    <w:rsid w:val="00CE5314"/>
    <w:rsid w:val="00CE5F94"/>
    <w:rsid w:val="00CE7809"/>
    <w:rsid w:val="00CF100D"/>
    <w:rsid w:val="00CF112A"/>
    <w:rsid w:val="00CF1A01"/>
    <w:rsid w:val="00CF2D5C"/>
    <w:rsid w:val="00CF2FB2"/>
    <w:rsid w:val="00CF33EF"/>
    <w:rsid w:val="00CF399C"/>
    <w:rsid w:val="00CF412D"/>
    <w:rsid w:val="00CF4D05"/>
    <w:rsid w:val="00CF4EDE"/>
    <w:rsid w:val="00CF6E1D"/>
    <w:rsid w:val="00CF76CD"/>
    <w:rsid w:val="00CF792A"/>
    <w:rsid w:val="00CF7E80"/>
    <w:rsid w:val="00D005F4"/>
    <w:rsid w:val="00D007B5"/>
    <w:rsid w:val="00D00B9A"/>
    <w:rsid w:val="00D00CFA"/>
    <w:rsid w:val="00D010BC"/>
    <w:rsid w:val="00D021F5"/>
    <w:rsid w:val="00D0265B"/>
    <w:rsid w:val="00D02EC8"/>
    <w:rsid w:val="00D0359F"/>
    <w:rsid w:val="00D03CD5"/>
    <w:rsid w:val="00D03D8D"/>
    <w:rsid w:val="00D04A8A"/>
    <w:rsid w:val="00D053E2"/>
    <w:rsid w:val="00D057FE"/>
    <w:rsid w:val="00D05A4C"/>
    <w:rsid w:val="00D06780"/>
    <w:rsid w:val="00D0682B"/>
    <w:rsid w:val="00D06C3E"/>
    <w:rsid w:val="00D06C55"/>
    <w:rsid w:val="00D07F6F"/>
    <w:rsid w:val="00D11A33"/>
    <w:rsid w:val="00D12B94"/>
    <w:rsid w:val="00D14222"/>
    <w:rsid w:val="00D14F26"/>
    <w:rsid w:val="00D15532"/>
    <w:rsid w:val="00D15535"/>
    <w:rsid w:val="00D15AF3"/>
    <w:rsid w:val="00D15F7D"/>
    <w:rsid w:val="00D166D0"/>
    <w:rsid w:val="00D17C14"/>
    <w:rsid w:val="00D17C9F"/>
    <w:rsid w:val="00D207CF"/>
    <w:rsid w:val="00D2275D"/>
    <w:rsid w:val="00D22946"/>
    <w:rsid w:val="00D23100"/>
    <w:rsid w:val="00D23151"/>
    <w:rsid w:val="00D2325D"/>
    <w:rsid w:val="00D23267"/>
    <w:rsid w:val="00D235FB"/>
    <w:rsid w:val="00D24010"/>
    <w:rsid w:val="00D24EAD"/>
    <w:rsid w:val="00D253E4"/>
    <w:rsid w:val="00D25ED3"/>
    <w:rsid w:val="00D26C0F"/>
    <w:rsid w:val="00D270F9"/>
    <w:rsid w:val="00D27176"/>
    <w:rsid w:val="00D278B0"/>
    <w:rsid w:val="00D31D6B"/>
    <w:rsid w:val="00D33280"/>
    <w:rsid w:val="00D34532"/>
    <w:rsid w:val="00D3462D"/>
    <w:rsid w:val="00D34BE3"/>
    <w:rsid w:val="00D34C95"/>
    <w:rsid w:val="00D34EC4"/>
    <w:rsid w:val="00D3549E"/>
    <w:rsid w:val="00D35884"/>
    <w:rsid w:val="00D35A34"/>
    <w:rsid w:val="00D36382"/>
    <w:rsid w:val="00D37412"/>
    <w:rsid w:val="00D414BC"/>
    <w:rsid w:val="00D446C9"/>
    <w:rsid w:val="00D46EDF"/>
    <w:rsid w:val="00D47A25"/>
    <w:rsid w:val="00D47AEB"/>
    <w:rsid w:val="00D515EE"/>
    <w:rsid w:val="00D525A1"/>
    <w:rsid w:val="00D52A7A"/>
    <w:rsid w:val="00D52F4E"/>
    <w:rsid w:val="00D5446B"/>
    <w:rsid w:val="00D55B01"/>
    <w:rsid w:val="00D56B5E"/>
    <w:rsid w:val="00D57275"/>
    <w:rsid w:val="00D5746E"/>
    <w:rsid w:val="00D57F24"/>
    <w:rsid w:val="00D60F75"/>
    <w:rsid w:val="00D615A9"/>
    <w:rsid w:val="00D6267A"/>
    <w:rsid w:val="00D6290D"/>
    <w:rsid w:val="00D62A08"/>
    <w:rsid w:val="00D62A40"/>
    <w:rsid w:val="00D62AF1"/>
    <w:rsid w:val="00D62E43"/>
    <w:rsid w:val="00D63D33"/>
    <w:rsid w:val="00D64B48"/>
    <w:rsid w:val="00D6569B"/>
    <w:rsid w:val="00D65828"/>
    <w:rsid w:val="00D65A72"/>
    <w:rsid w:val="00D65FBE"/>
    <w:rsid w:val="00D702BA"/>
    <w:rsid w:val="00D70430"/>
    <w:rsid w:val="00D70688"/>
    <w:rsid w:val="00D70815"/>
    <w:rsid w:val="00D71576"/>
    <w:rsid w:val="00D71F98"/>
    <w:rsid w:val="00D72EF5"/>
    <w:rsid w:val="00D74882"/>
    <w:rsid w:val="00D74C1F"/>
    <w:rsid w:val="00D7744F"/>
    <w:rsid w:val="00D80197"/>
    <w:rsid w:val="00D802D9"/>
    <w:rsid w:val="00D80D82"/>
    <w:rsid w:val="00D81A4E"/>
    <w:rsid w:val="00D8240C"/>
    <w:rsid w:val="00D83950"/>
    <w:rsid w:val="00D83D5E"/>
    <w:rsid w:val="00D83E3D"/>
    <w:rsid w:val="00D84741"/>
    <w:rsid w:val="00D84BD0"/>
    <w:rsid w:val="00D84D8F"/>
    <w:rsid w:val="00D852EC"/>
    <w:rsid w:val="00D86883"/>
    <w:rsid w:val="00D86E50"/>
    <w:rsid w:val="00D878EB"/>
    <w:rsid w:val="00D90A5E"/>
    <w:rsid w:val="00D90F91"/>
    <w:rsid w:val="00D91948"/>
    <w:rsid w:val="00D923DB"/>
    <w:rsid w:val="00D9298A"/>
    <w:rsid w:val="00D92FFD"/>
    <w:rsid w:val="00D9390A"/>
    <w:rsid w:val="00D9423E"/>
    <w:rsid w:val="00D945B3"/>
    <w:rsid w:val="00D9484B"/>
    <w:rsid w:val="00D94A7E"/>
    <w:rsid w:val="00D9563F"/>
    <w:rsid w:val="00D95896"/>
    <w:rsid w:val="00D96334"/>
    <w:rsid w:val="00D963DC"/>
    <w:rsid w:val="00D96E7D"/>
    <w:rsid w:val="00DA044E"/>
    <w:rsid w:val="00DA1597"/>
    <w:rsid w:val="00DA15F8"/>
    <w:rsid w:val="00DA16CB"/>
    <w:rsid w:val="00DA1AF0"/>
    <w:rsid w:val="00DA1E3C"/>
    <w:rsid w:val="00DA224E"/>
    <w:rsid w:val="00DA23A0"/>
    <w:rsid w:val="00DA267D"/>
    <w:rsid w:val="00DA4667"/>
    <w:rsid w:val="00DA4C3B"/>
    <w:rsid w:val="00DA6359"/>
    <w:rsid w:val="00DA6E9B"/>
    <w:rsid w:val="00DA748F"/>
    <w:rsid w:val="00DB02F8"/>
    <w:rsid w:val="00DB0601"/>
    <w:rsid w:val="00DB3091"/>
    <w:rsid w:val="00DB4107"/>
    <w:rsid w:val="00DB42EB"/>
    <w:rsid w:val="00DB4A45"/>
    <w:rsid w:val="00DB4CF8"/>
    <w:rsid w:val="00DB59C4"/>
    <w:rsid w:val="00DB5B97"/>
    <w:rsid w:val="00DB75F0"/>
    <w:rsid w:val="00DB795E"/>
    <w:rsid w:val="00DB7B7A"/>
    <w:rsid w:val="00DC03B4"/>
    <w:rsid w:val="00DC121F"/>
    <w:rsid w:val="00DC21E1"/>
    <w:rsid w:val="00DC25BC"/>
    <w:rsid w:val="00DC3103"/>
    <w:rsid w:val="00DC35D9"/>
    <w:rsid w:val="00DC3CD8"/>
    <w:rsid w:val="00DC4104"/>
    <w:rsid w:val="00DC489C"/>
    <w:rsid w:val="00DC5505"/>
    <w:rsid w:val="00DC55EB"/>
    <w:rsid w:val="00DC6492"/>
    <w:rsid w:val="00DC72C6"/>
    <w:rsid w:val="00DC74A6"/>
    <w:rsid w:val="00DC7D27"/>
    <w:rsid w:val="00DD054C"/>
    <w:rsid w:val="00DD05E6"/>
    <w:rsid w:val="00DD0F52"/>
    <w:rsid w:val="00DD1E13"/>
    <w:rsid w:val="00DD2235"/>
    <w:rsid w:val="00DD3124"/>
    <w:rsid w:val="00DD3E14"/>
    <w:rsid w:val="00DD538F"/>
    <w:rsid w:val="00DD5697"/>
    <w:rsid w:val="00DD588F"/>
    <w:rsid w:val="00DD5E80"/>
    <w:rsid w:val="00DD60AB"/>
    <w:rsid w:val="00DD628A"/>
    <w:rsid w:val="00DD6FDA"/>
    <w:rsid w:val="00DD773B"/>
    <w:rsid w:val="00DD7B9E"/>
    <w:rsid w:val="00DE03DA"/>
    <w:rsid w:val="00DE0559"/>
    <w:rsid w:val="00DE1687"/>
    <w:rsid w:val="00DE1786"/>
    <w:rsid w:val="00DE19EC"/>
    <w:rsid w:val="00DE1CD2"/>
    <w:rsid w:val="00DE1F23"/>
    <w:rsid w:val="00DE2410"/>
    <w:rsid w:val="00DE3346"/>
    <w:rsid w:val="00DE3426"/>
    <w:rsid w:val="00DE35A9"/>
    <w:rsid w:val="00DE396A"/>
    <w:rsid w:val="00DE3BEF"/>
    <w:rsid w:val="00DE3DF9"/>
    <w:rsid w:val="00DE53FC"/>
    <w:rsid w:val="00DE5727"/>
    <w:rsid w:val="00DE5897"/>
    <w:rsid w:val="00DE590C"/>
    <w:rsid w:val="00DE5CAB"/>
    <w:rsid w:val="00DE7079"/>
    <w:rsid w:val="00DE7F4F"/>
    <w:rsid w:val="00DF0D44"/>
    <w:rsid w:val="00DF0DB4"/>
    <w:rsid w:val="00DF1313"/>
    <w:rsid w:val="00DF2FE7"/>
    <w:rsid w:val="00DF3939"/>
    <w:rsid w:val="00DF3F2B"/>
    <w:rsid w:val="00DF44DC"/>
    <w:rsid w:val="00DF523A"/>
    <w:rsid w:val="00DF591B"/>
    <w:rsid w:val="00DF5F27"/>
    <w:rsid w:val="00DF6C5A"/>
    <w:rsid w:val="00DF7C03"/>
    <w:rsid w:val="00E002C6"/>
    <w:rsid w:val="00E00585"/>
    <w:rsid w:val="00E00BD6"/>
    <w:rsid w:val="00E01B4D"/>
    <w:rsid w:val="00E03228"/>
    <w:rsid w:val="00E0404E"/>
    <w:rsid w:val="00E044B7"/>
    <w:rsid w:val="00E0466F"/>
    <w:rsid w:val="00E046A9"/>
    <w:rsid w:val="00E047DA"/>
    <w:rsid w:val="00E048CC"/>
    <w:rsid w:val="00E05289"/>
    <w:rsid w:val="00E056C8"/>
    <w:rsid w:val="00E061FF"/>
    <w:rsid w:val="00E065C3"/>
    <w:rsid w:val="00E06A34"/>
    <w:rsid w:val="00E06EC8"/>
    <w:rsid w:val="00E076BC"/>
    <w:rsid w:val="00E079F0"/>
    <w:rsid w:val="00E118BA"/>
    <w:rsid w:val="00E11B9F"/>
    <w:rsid w:val="00E1285E"/>
    <w:rsid w:val="00E12BC5"/>
    <w:rsid w:val="00E12C7C"/>
    <w:rsid w:val="00E1359E"/>
    <w:rsid w:val="00E155EA"/>
    <w:rsid w:val="00E1566F"/>
    <w:rsid w:val="00E15FF2"/>
    <w:rsid w:val="00E1693D"/>
    <w:rsid w:val="00E17E6A"/>
    <w:rsid w:val="00E2016F"/>
    <w:rsid w:val="00E22425"/>
    <w:rsid w:val="00E22D4D"/>
    <w:rsid w:val="00E23086"/>
    <w:rsid w:val="00E23A95"/>
    <w:rsid w:val="00E2498A"/>
    <w:rsid w:val="00E253E1"/>
    <w:rsid w:val="00E256F1"/>
    <w:rsid w:val="00E25936"/>
    <w:rsid w:val="00E259F0"/>
    <w:rsid w:val="00E25FC3"/>
    <w:rsid w:val="00E26988"/>
    <w:rsid w:val="00E26EF6"/>
    <w:rsid w:val="00E26F0F"/>
    <w:rsid w:val="00E30194"/>
    <w:rsid w:val="00E316A2"/>
    <w:rsid w:val="00E31999"/>
    <w:rsid w:val="00E33D04"/>
    <w:rsid w:val="00E3422A"/>
    <w:rsid w:val="00E351CB"/>
    <w:rsid w:val="00E35B55"/>
    <w:rsid w:val="00E36269"/>
    <w:rsid w:val="00E364E1"/>
    <w:rsid w:val="00E3679B"/>
    <w:rsid w:val="00E36F4D"/>
    <w:rsid w:val="00E37720"/>
    <w:rsid w:val="00E37D09"/>
    <w:rsid w:val="00E37EA5"/>
    <w:rsid w:val="00E40AAD"/>
    <w:rsid w:val="00E429CE"/>
    <w:rsid w:val="00E43E97"/>
    <w:rsid w:val="00E447C5"/>
    <w:rsid w:val="00E44BF7"/>
    <w:rsid w:val="00E45504"/>
    <w:rsid w:val="00E45ACB"/>
    <w:rsid w:val="00E45DFA"/>
    <w:rsid w:val="00E465D2"/>
    <w:rsid w:val="00E46BA8"/>
    <w:rsid w:val="00E46D80"/>
    <w:rsid w:val="00E47056"/>
    <w:rsid w:val="00E51347"/>
    <w:rsid w:val="00E5196B"/>
    <w:rsid w:val="00E525AA"/>
    <w:rsid w:val="00E536EA"/>
    <w:rsid w:val="00E53C9F"/>
    <w:rsid w:val="00E542F5"/>
    <w:rsid w:val="00E54346"/>
    <w:rsid w:val="00E54C27"/>
    <w:rsid w:val="00E5571A"/>
    <w:rsid w:val="00E5607F"/>
    <w:rsid w:val="00E56689"/>
    <w:rsid w:val="00E56B28"/>
    <w:rsid w:val="00E57311"/>
    <w:rsid w:val="00E57388"/>
    <w:rsid w:val="00E57B78"/>
    <w:rsid w:val="00E57E70"/>
    <w:rsid w:val="00E6051C"/>
    <w:rsid w:val="00E61455"/>
    <w:rsid w:val="00E61D03"/>
    <w:rsid w:val="00E61DB6"/>
    <w:rsid w:val="00E62DC3"/>
    <w:rsid w:val="00E6368C"/>
    <w:rsid w:val="00E647F5"/>
    <w:rsid w:val="00E64989"/>
    <w:rsid w:val="00E6535F"/>
    <w:rsid w:val="00E6619C"/>
    <w:rsid w:val="00E6673E"/>
    <w:rsid w:val="00E671E3"/>
    <w:rsid w:val="00E675CD"/>
    <w:rsid w:val="00E67E6F"/>
    <w:rsid w:val="00E70211"/>
    <w:rsid w:val="00E70B90"/>
    <w:rsid w:val="00E70CDF"/>
    <w:rsid w:val="00E71CF2"/>
    <w:rsid w:val="00E7295E"/>
    <w:rsid w:val="00E72A01"/>
    <w:rsid w:val="00E732BD"/>
    <w:rsid w:val="00E74066"/>
    <w:rsid w:val="00E74223"/>
    <w:rsid w:val="00E74C4A"/>
    <w:rsid w:val="00E76C16"/>
    <w:rsid w:val="00E7704B"/>
    <w:rsid w:val="00E771C2"/>
    <w:rsid w:val="00E772C4"/>
    <w:rsid w:val="00E77456"/>
    <w:rsid w:val="00E77504"/>
    <w:rsid w:val="00E80721"/>
    <w:rsid w:val="00E80BBB"/>
    <w:rsid w:val="00E81905"/>
    <w:rsid w:val="00E82B73"/>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8A6"/>
    <w:rsid w:val="00E92245"/>
    <w:rsid w:val="00E9273C"/>
    <w:rsid w:val="00E92BC2"/>
    <w:rsid w:val="00E932BF"/>
    <w:rsid w:val="00E9427E"/>
    <w:rsid w:val="00E9434E"/>
    <w:rsid w:val="00E94A4C"/>
    <w:rsid w:val="00E95A41"/>
    <w:rsid w:val="00E96868"/>
    <w:rsid w:val="00E96B46"/>
    <w:rsid w:val="00E96CF7"/>
    <w:rsid w:val="00E972A5"/>
    <w:rsid w:val="00E97587"/>
    <w:rsid w:val="00E9778E"/>
    <w:rsid w:val="00E97EC5"/>
    <w:rsid w:val="00EA08D7"/>
    <w:rsid w:val="00EA0A11"/>
    <w:rsid w:val="00EA0B64"/>
    <w:rsid w:val="00EA1450"/>
    <w:rsid w:val="00EA1EE0"/>
    <w:rsid w:val="00EA1EE4"/>
    <w:rsid w:val="00EA26B0"/>
    <w:rsid w:val="00EA2868"/>
    <w:rsid w:val="00EA3D2E"/>
    <w:rsid w:val="00EA405A"/>
    <w:rsid w:val="00EA5C68"/>
    <w:rsid w:val="00EA60C8"/>
    <w:rsid w:val="00EA7D78"/>
    <w:rsid w:val="00EB12DC"/>
    <w:rsid w:val="00EB1AD6"/>
    <w:rsid w:val="00EB2E2A"/>
    <w:rsid w:val="00EB36A9"/>
    <w:rsid w:val="00EB3956"/>
    <w:rsid w:val="00EB4280"/>
    <w:rsid w:val="00EB459E"/>
    <w:rsid w:val="00EB4634"/>
    <w:rsid w:val="00EB483C"/>
    <w:rsid w:val="00EB4A48"/>
    <w:rsid w:val="00EB4FC8"/>
    <w:rsid w:val="00EB5D91"/>
    <w:rsid w:val="00EB636A"/>
    <w:rsid w:val="00EB7928"/>
    <w:rsid w:val="00EC05FB"/>
    <w:rsid w:val="00EC083B"/>
    <w:rsid w:val="00EC153C"/>
    <w:rsid w:val="00EC19CA"/>
    <w:rsid w:val="00EC1AE6"/>
    <w:rsid w:val="00EC1D4A"/>
    <w:rsid w:val="00EC2C3A"/>
    <w:rsid w:val="00EC2DB3"/>
    <w:rsid w:val="00EC44A0"/>
    <w:rsid w:val="00EC4CDB"/>
    <w:rsid w:val="00EC5D8A"/>
    <w:rsid w:val="00EC6C32"/>
    <w:rsid w:val="00EC70EB"/>
    <w:rsid w:val="00EC77DD"/>
    <w:rsid w:val="00ED0ABD"/>
    <w:rsid w:val="00ED0E64"/>
    <w:rsid w:val="00ED0F0E"/>
    <w:rsid w:val="00ED1001"/>
    <w:rsid w:val="00ED1B83"/>
    <w:rsid w:val="00ED20C8"/>
    <w:rsid w:val="00ED315B"/>
    <w:rsid w:val="00ED328B"/>
    <w:rsid w:val="00ED3E0A"/>
    <w:rsid w:val="00ED48F5"/>
    <w:rsid w:val="00ED4A36"/>
    <w:rsid w:val="00ED6F08"/>
    <w:rsid w:val="00ED740F"/>
    <w:rsid w:val="00ED74BE"/>
    <w:rsid w:val="00EE0F6A"/>
    <w:rsid w:val="00EE1C29"/>
    <w:rsid w:val="00EE261B"/>
    <w:rsid w:val="00EE26F3"/>
    <w:rsid w:val="00EE3983"/>
    <w:rsid w:val="00EE3D3C"/>
    <w:rsid w:val="00EE4690"/>
    <w:rsid w:val="00EE4C2D"/>
    <w:rsid w:val="00EE611C"/>
    <w:rsid w:val="00EE641E"/>
    <w:rsid w:val="00EE6AD3"/>
    <w:rsid w:val="00EE7958"/>
    <w:rsid w:val="00EE7A02"/>
    <w:rsid w:val="00EE7EF7"/>
    <w:rsid w:val="00EF027D"/>
    <w:rsid w:val="00EF0337"/>
    <w:rsid w:val="00EF0434"/>
    <w:rsid w:val="00EF06D3"/>
    <w:rsid w:val="00EF06DF"/>
    <w:rsid w:val="00EF0E29"/>
    <w:rsid w:val="00EF20F3"/>
    <w:rsid w:val="00EF2480"/>
    <w:rsid w:val="00EF3427"/>
    <w:rsid w:val="00EF3440"/>
    <w:rsid w:val="00EF3D59"/>
    <w:rsid w:val="00EF3FF4"/>
    <w:rsid w:val="00EF5BBE"/>
    <w:rsid w:val="00EF5EB5"/>
    <w:rsid w:val="00EF65A9"/>
    <w:rsid w:val="00EF6782"/>
    <w:rsid w:val="00F004AA"/>
    <w:rsid w:val="00F005F6"/>
    <w:rsid w:val="00F01C49"/>
    <w:rsid w:val="00F0233D"/>
    <w:rsid w:val="00F028F8"/>
    <w:rsid w:val="00F02C20"/>
    <w:rsid w:val="00F03012"/>
    <w:rsid w:val="00F03438"/>
    <w:rsid w:val="00F03784"/>
    <w:rsid w:val="00F04309"/>
    <w:rsid w:val="00F04D1A"/>
    <w:rsid w:val="00F04E8C"/>
    <w:rsid w:val="00F06610"/>
    <w:rsid w:val="00F06D8F"/>
    <w:rsid w:val="00F111D8"/>
    <w:rsid w:val="00F113C2"/>
    <w:rsid w:val="00F118D6"/>
    <w:rsid w:val="00F11A09"/>
    <w:rsid w:val="00F11EC4"/>
    <w:rsid w:val="00F127C7"/>
    <w:rsid w:val="00F13EB4"/>
    <w:rsid w:val="00F14ABE"/>
    <w:rsid w:val="00F1500C"/>
    <w:rsid w:val="00F15EE9"/>
    <w:rsid w:val="00F16158"/>
    <w:rsid w:val="00F1684C"/>
    <w:rsid w:val="00F16862"/>
    <w:rsid w:val="00F16C37"/>
    <w:rsid w:val="00F16D2A"/>
    <w:rsid w:val="00F2043B"/>
    <w:rsid w:val="00F20C9A"/>
    <w:rsid w:val="00F21090"/>
    <w:rsid w:val="00F23494"/>
    <w:rsid w:val="00F23714"/>
    <w:rsid w:val="00F240B8"/>
    <w:rsid w:val="00F24CF8"/>
    <w:rsid w:val="00F24FBC"/>
    <w:rsid w:val="00F25663"/>
    <w:rsid w:val="00F26AA9"/>
    <w:rsid w:val="00F2750F"/>
    <w:rsid w:val="00F27B6B"/>
    <w:rsid w:val="00F3104E"/>
    <w:rsid w:val="00F31ECA"/>
    <w:rsid w:val="00F335A8"/>
    <w:rsid w:val="00F33A72"/>
    <w:rsid w:val="00F34055"/>
    <w:rsid w:val="00F358F9"/>
    <w:rsid w:val="00F3759B"/>
    <w:rsid w:val="00F40A40"/>
    <w:rsid w:val="00F40DCD"/>
    <w:rsid w:val="00F41A12"/>
    <w:rsid w:val="00F41A26"/>
    <w:rsid w:val="00F42D78"/>
    <w:rsid w:val="00F42E7E"/>
    <w:rsid w:val="00F4340D"/>
    <w:rsid w:val="00F43B6A"/>
    <w:rsid w:val="00F4428E"/>
    <w:rsid w:val="00F44A7C"/>
    <w:rsid w:val="00F44DB5"/>
    <w:rsid w:val="00F4534A"/>
    <w:rsid w:val="00F456F0"/>
    <w:rsid w:val="00F45C18"/>
    <w:rsid w:val="00F45C86"/>
    <w:rsid w:val="00F464F1"/>
    <w:rsid w:val="00F4674B"/>
    <w:rsid w:val="00F47C1B"/>
    <w:rsid w:val="00F47D27"/>
    <w:rsid w:val="00F5271E"/>
    <w:rsid w:val="00F52B9D"/>
    <w:rsid w:val="00F531BD"/>
    <w:rsid w:val="00F537EC"/>
    <w:rsid w:val="00F53839"/>
    <w:rsid w:val="00F53EEB"/>
    <w:rsid w:val="00F54B30"/>
    <w:rsid w:val="00F550D6"/>
    <w:rsid w:val="00F55E38"/>
    <w:rsid w:val="00F55EB4"/>
    <w:rsid w:val="00F56491"/>
    <w:rsid w:val="00F56AD4"/>
    <w:rsid w:val="00F57003"/>
    <w:rsid w:val="00F57C62"/>
    <w:rsid w:val="00F600EF"/>
    <w:rsid w:val="00F61253"/>
    <w:rsid w:val="00F61C51"/>
    <w:rsid w:val="00F61C9A"/>
    <w:rsid w:val="00F625F1"/>
    <w:rsid w:val="00F62B5E"/>
    <w:rsid w:val="00F630C3"/>
    <w:rsid w:val="00F64438"/>
    <w:rsid w:val="00F6482E"/>
    <w:rsid w:val="00F64978"/>
    <w:rsid w:val="00F64E48"/>
    <w:rsid w:val="00F6610B"/>
    <w:rsid w:val="00F6659B"/>
    <w:rsid w:val="00F66AD9"/>
    <w:rsid w:val="00F66B0F"/>
    <w:rsid w:val="00F66DB1"/>
    <w:rsid w:val="00F67DFC"/>
    <w:rsid w:val="00F67E17"/>
    <w:rsid w:val="00F70227"/>
    <w:rsid w:val="00F70CE5"/>
    <w:rsid w:val="00F710A5"/>
    <w:rsid w:val="00F71751"/>
    <w:rsid w:val="00F7177B"/>
    <w:rsid w:val="00F718C3"/>
    <w:rsid w:val="00F71CA4"/>
    <w:rsid w:val="00F72BE8"/>
    <w:rsid w:val="00F73BB4"/>
    <w:rsid w:val="00F74CA9"/>
    <w:rsid w:val="00F754B1"/>
    <w:rsid w:val="00F767CE"/>
    <w:rsid w:val="00F767EB"/>
    <w:rsid w:val="00F76D51"/>
    <w:rsid w:val="00F76F49"/>
    <w:rsid w:val="00F7737A"/>
    <w:rsid w:val="00F80447"/>
    <w:rsid w:val="00F8180E"/>
    <w:rsid w:val="00F81A91"/>
    <w:rsid w:val="00F81A95"/>
    <w:rsid w:val="00F82587"/>
    <w:rsid w:val="00F8261E"/>
    <w:rsid w:val="00F82BF9"/>
    <w:rsid w:val="00F83D10"/>
    <w:rsid w:val="00F83DFD"/>
    <w:rsid w:val="00F856CF"/>
    <w:rsid w:val="00F86CD8"/>
    <w:rsid w:val="00F873D2"/>
    <w:rsid w:val="00F87567"/>
    <w:rsid w:val="00F8765D"/>
    <w:rsid w:val="00F90524"/>
    <w:rsid w:val="00F91CCC"/>
    <w:rsid w:val="00F91DB5"/>
    <w:rsid w:val="00F92112"/>
    <w:rsid w:val="00F92C92"/>
    <w:rsid w:val="00F93043"/>
    <w:rsid w:val="00F9316B"/>
    <w:rsid w:val="00F949CD"/>
    <w:rsid w:val="00F95954"/>
    <w:rsid w:val="00F95CBC"/>
    <w:rsid w:val="00FA00EE"/>
    <w:rsid w:val="00FA050B"/>
    <w:rsid w:val="00FA0C92"/>
    <w:rsid w:val="00FA2099"/>
    <w:rsid w:val="00FA2E80"/>
    <w:rsid w:val="00FA30F1"/>
    <w:rsid w:val="00FA351D"/>
    <w:rsid w:val="00FA378B"/>
    <w:rsid w:val="00FA3E25"/>
    <w:rsid w:val="00FA493F"/>
    <w:rsid w:val="00FA4B77"/>
    <w:rsid w:val="00FA4BA4"/>
    <w:rsid w:val="00FA529B"/>
    <w:rsid w:val="00FA61AD"/>
    <w:rsid w:val="00FA6564"/>
    <w:rsid w:val="00FA669F"/>
    <w:rsid w:val="00FA77B2"/>
    <w:rsid w:val="00FA7DB5"/>
    <w:rsid w:val="00FA7F87"/>
    <w:rsid w:val="00FB03C5"/>
    <w:rsid w:val="00FB0524"/>
    <w:rsid w:val="00FB0FF4"/>
    <w:rsid w:val="00FB11CC"/>
    <w:rsid w:val="00FB1A41"/>
    <w:rsid w:val="00FB2701"/>
    <w:rsid w:val="00FB28D1"/>
    <w:rsid w:val="00FB5811"/>
    <w:rsid w:val="00FB5BC7"/>
    <w:rsid w:val="00FB65C7"/>
    <w:rsid w:val="00FB6789"/>
    <w:rsid w:val="00FB6A8A"/>
    <w:rsid w:val="00FB706A"/>
    <w:rsid w:val="00FB744C"/>
    <w:rsid w:val="00FC0249"/>
    <w:rsid w:val="00FC0416"/>
    <w:rsid w:val="00FC0837"/>
    <w:rsid w:val="00FC0CFE"/>
    <w:rsid w:val="00FC11F1"/>
    <w:rsid w:val="00FC1202"/>
    <w:rsid w:val="00FC1DB0"/>
    <w:rsid w:val="00FC20D1"/>
    <w:rsid w:val="00FC48CA"/>
    <w:rsid w:val="00FC549D"/>
    <w:rsid w:val="00FC563A"/>
    <w:rsid w:val="00FC5A0B"/>
    <w:rsid w:val="00FC5D95"/>
    <w:rsid w:val="00FC608E"/>
    <w:rsid w:val="00FC65A2"/>
    <w:rsid w:val="00FC76AB"/>
    <w:rsid w:val="00FD0075"/>
    <w:rsid w:val="00FD0D32"/>
    <w:rsid w:val="00FD10D9"/>
    <w:rsid w:val="00FD22C1"/>
    <w:rsid w:val="00FD2A9A"/>
    <w:rsid w:val="00FD4063"/>
    <w:rsid w:val="00FD40FB"/>
    <w:rsid w:val="00FD46AF"/>
    <w:rsid w:val="00FD47CB"/>
    <w:rsid w:val="00FD4E21"/>
    <w:rsid w:val="00FD4F82"/>
    <w:rsid w:val="00FD6239"/>
    <w:rsid w:val="00FD638A"/>
    <w:rsid w:val="00FD66D0"/>
    <w:rsid w:val="00FD7A6F"/>
    <w:rsid w:val="00FD7C39"/>
    <w:rsid w:val="00FE0991"/>
    <w:rsid w:val="00FE110C"/>
    <w:rsid w:val="00FE2482"/>
    <w:rsid w:val="00FE2555"/>
    <w:rsid w:val="00FE38C6"/>
    <w:rsid w:val="00FE4C6D"/>
    <w:rsid w:val="00FE64D8"/>
    <w:rsid w:val="00FE6578"/>
    <w:rsid w:val="00FE7001"/>
    <w:rsid w:val="00FE7E9C"/>
    <w:rsid w:val="00FF0E99"/>
    <w:rsid w:val="00FF0F2E"/>
    <w:rsid w:val="00FF2228"/>
    <w:rsid w:val="00FF2642"/>
    <w:rsid w:val="00FF27BE"/>
    <w:rsid w:val="00FF4508"/>
    <w:rsid w:val="00FF4524"/>
    <w:rsid w:val="00FF4C36"/>
    <w:rsid w:val="00FF526C"/>
    <w:rsid w:val="00FF5A95"/>
    <w:rsid w:val="00FF5AF0"/>
    <w:rsid w:val="00FF5C61"/>
    <w:rsid w:val="00FF6AFA"/>
    <w:rsid w:val="00FF6CD4"/>
    <w:rsid w:val="31052336"/>
    <w:rsid w:val="3B68F78B"/>
    <w:rsid w:val="549A8FCF"/>
    <w:rsid w:val="6F33D0D2"/>
    <w:rsid w:val="7B43AE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4F3604"/>
  <w15:chartTrackingRefBased/>
  <w15:docId w15:val="{1B10268E-944E-4BF5-BB59-D5EF468CB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qFormat="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5C2"/>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3E08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E08FC"/>
    <w:p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l3,list 3,Head 3,1.1.1"/>
    <w:basedOn w:val="Heading2"/>
    <w:next w:val="Normal"/>
    <w:link w:val="Heading3Char1"/>
    <w:qFormat/>
    <w:rsid w:val="003E08F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rsid w:val="003E08FC"/>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E08FC"/>
    <w:pPr>
      <w:ind w:left="1701" w:hanging="1701"/>
      <w:outlineLvl w:val="4"/>
    </w:pPr>
    <w:rPr>
      <w:sz w:val="22"/>
    </w:rPr>
  </w:style>
  <w:style w:type="paragraph" w:styleId="Heading6">
    <w:name w:val="heading 6"/>
    <w:aliases w:val="T1,Header 6"/>
    <w:basedOn w:val="H6"/>
    <w:next w:val="Normal"/>
    <w:link w:val="Heading6Char"/>
    <w:qFormat/>
    <w:rsid w:val="003E08FC"/>
    <w:pPr>
      <w:outlineLvl w:val="5"/>
    </w:pPr>
  </w:style>
  <w:style w:type="paragraph" w:styleId="Heading7">
    <w:name w:val="heading 7"/>
    <w:basedOn w:val="H6"/>
    <w:next w:val="Normal"/>
    <w:link w:val="Heading7Char"/>
    <w:qFormat/>
    <w:rsid w:val="003E08FC"/>
    <w:pPr>
      <w:outlineLvl w:val="6"/>
    </w:pPr>
  </w:style>
  <w:style w:type="paragraph" w:styleId="Heading8">
    <w:name w:val="heading 8"/>
    <w:basedOn w:val="Heading1"/>
    <w:next w:val="Normal"/>
    <w:link w:val="Heading8Char"/>
    <w:qFormat/>
    <w:rsid w:val="003E08FC"/>
    <w:pPr>
      <w:ind w:left="0" w:firstLine="0"/>
      <w:outlineLvl w:val="7"/>
    </w:pPr>
  </w:style>
  <w:style w:type="paragraph" w:styleId="Heading9">
    <w:name w:val="heading 9"/>
    <w:basedOn w:val="Heading8"/>
    <w:next w:val="Normal"/>
    <w:link w:val="Heading9Char"/>
    <w:qFormat/>
    <w:rsid w:val="003E08F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E61455"/>
    <w:rPr>
      <w:rFonts w:ascii="Arial" w:eastAsia="Times New Roman" w:hAnsi="Arial"/>
      <w:sz w:val="36"/>
    </w:rPr>
  </w:style>
  <w:style w:type="character" w:customStyle="1" w:styleId="Heading2Char">
    <w:name w:val="Heading 2 Char"/>
    <w:aliases w:val="Head2A Char5,2 Char,H2 Char,h2 Char,DO NOT USE_h2 Char,h21 Char,UNDERRUBRIK 1-2 Char,Head 2 Char,l2 Char,TitreProp Char,Header 2 Char,ITT t2 Char,PA Major Section Char,Livello 2 Char,R2 Char,H21 Char,Heading 2 Hidden Char,Head1 Char"/>
    <w:link w:val="Heading2"/>
    <w:qFormat/>
    <w:rsid w:val="00E61455"/>
    <w:rPr>
      <w:rFonts w:ascii="Arial" w:eastAsia="Times New Roman" w:hAnsi="Arial"/>
      <w:sz w:val="32"/>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l3 Char"/>
    <w:link w:val="Heading3"/>
    <w:qFormat/>
    <w:rsid w:val="00E61455"/>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61455"/>
    <w:rPr>
      <w:rFonts w:ascii="Arial" w:eastAsia="Times New Roman" w:hAnsi="Arial"/>
      <w:sz w:val="24"/>
    </w:rPr>
  </w:style>
  <w:style w:type="character" w:customStyle="1" w:styleId="Heading5Char">
    <w:name w:val="Heading 5 Char"/>
    <w:aliases w:val="h5 Char3,Heading5 Char,Head5 Char,H5 Char,M5 Char,mh2 Char,Module heading 2 Char,heading 8 Char,Numbered Sub-list Char,Heading 81 Char,标题 81 Char,Heading 811 Char,Heading 8111 Char"/>
    <w:link w:val="Heading5"/>
    <w:qFormat/>
    <w:rsid w:val="00E61455"/>
    <w:rPr>
      <w:rFonts w:ascii="Arial" w:eastAsia="Times New Roman" w:hAnsi="Arial"/>
      <w:sz w:val="22"/>
    </w:rPr>
  </w:style>
  <w:style w:type="character" w:customStyle="1" w:styleId="Heading6Char">
    <w:name w:val="Heading 6 Char"/>
    <w:aliases w:val="T1 Char4,Header 6 Char"/>
    <w:link w:val="Heading6"/>
    <w:qFormat/>
    <w:rsid w:val="00E61455"/>
    <w:rPr>
      <w:rFonts w:ascii="Arial" w:eastAsia="Times New Roman" w:hAnsi="Arial"/>
    </w:rPr>
  </w:style>
  <w:style w:type="character" w:customStyle="1" w:styleId="Heading7Char">
    <w:name w:val="Heading 7 Char"/>
    <w:link w:val="Heading7"/>
    <w:qFormat/>
    <w:rsid w:val="00E61455"/>
    <w:rPr>
      <w:rFonts w:ascii="Arial" w:eastAsia="Times New Roman" w:hAnsi="Arial"/>
    </w:rPr>
  </w:style>
  <w:style w:type="character" w:customStyle="1" w:styleId="Heading8Char">
    <w:name w:val="Heading 8 Char"/>
    <w:link w:val="Heading8"/>
    <w:qFormat/>
    <w:rsid w:val="00E61455"/>
    <w:rPr>
      <w:rFonts w:ascii="Arial" w:eastAsia="Times New Roman" w:hAnsi="Arial"/>
      <w:sz w:val="36"/>
    </w:rPr>
  </w:style>
  <w:style w:type="character" w:customStyle="1" w:styleId="Heading9Char">
    <w:name w:val="Heading 9 Char"/>
    <w:link w:val="Heading9"/>
    <w:qFormat/>
    <w:rsid w:val="00E61455"/>
    <w:rPr>
      <w:rFonts w:ascii="Arial" w:eastAsia="Times New Roman" w:hAnsi="Arial"/>
      <w:sz w:val="36"/>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uiPriority w:val="35"/>
    <w:qFormat/>
    <w:rsid w:val="006013E0"/>
    <w:pPr>
      <w:snapToGrid w:val="0"/>
      <w:spacing w:after="120"/>
      <w:jc w:val="center"/>
    </w:pPr>
    <w:rPr>
      <w:b/>
      <w:bCs/>
      <w:lang w:val="en-US"/>
    </w:rPr>
  </w:style>
  <w:style w:type="paragraph" w:customStyle="1" w:styleId="TAC">
    <w:name w:val="TAC"/>
    <w:basedOn w:val="TAL"/>
    <w:link w:val="TACChar"/>
    <w:qFormat/>
    <w:rsid w:val="003E08FC"/>
    <w:pPr>
      <w:jc w:val="center"/>
    </w:pPr>
  </w:style>
  <w:style w:type="character" w:customStyle="1" w:styleId="TACChar">
    <w:name w:val="TAC Char"/>
    <w:link w:val="TAC"/>
    <w:qFormat/>
    <w:rsid w:val="006013E0"/>
    <w:rPr>
      <w:rFonts w:ascii="Arial" w:eastAsia="Times New Roman" w:hAnsi="Arial"/>
      <w:sz w:val="18"/>
    </w:rPr>
  </w:style>
  <w:style w:type="paragraph" w:styleId="DocumentMap">
    <w:name w:val="Document Map"/>
    <w:basedOn w:val="Normal"/>
    <w:link w:val="DocumentMapChar"/>
    <w:unhideWhenUsed/>
    <w:qFormat/>
    <w:rsid w:val="00A51758"/>
    <w:rPr>
      <w:rFonts w:ascii="SimSun"/>
      <w:sz w:val="18"/>
      <w:szCs w:val="18"/>
    </w:rPr>
  </w:style>
  <w:style w:type="character" w:customStyle="1" w:styleId="DocumentMapChar">
    <w:name w:val="Document Map Char"/>
    <w:link w:val="DocumentMap"/>
    <w:qFormat/>
    <w:rsid w:val="00A51758"/>
    <w:rPr>
      <w:rFonts w:ascii="SimSun" w:hAnsi="Times New Roman"/>
      <w:sz w:val="18"/>
      <w:szCs w:val="18"/>
      <w:lang w:val="en-GB" w:eastAsia="en-US"/>
    </w:rPr>
  </w:style>
  <w:style w:type="table" w:styleId="TableGrid">
    <w:name w:val="Table Grid"/>
    <w:basedOn w:val="TableNormal"/>
    <w:uiPriority w:val="39"/>
    <w:qFormat/>
    <w:rsid w:val="007E04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nhideWhenUsed/>
    <w:qFormat/>
    <w:rsid w:val="009212EC"/>
    <w:pPr>
      <w:spacing w:after="0"/>
    </w:pPr>
    <w:rPr>
      <w:sz w:val="18"/>
      <w:szCs w:val="18"/>
    </w:rPr>
  </w:style>
  <w:style w:type="character" w:customStyle="1" w:styleId="BalloonTextChar">
    <w:name w:val="Balloon Text Char"/>
    <w:link w:val="BalloonText"/>
    <w:qFormat/>
    <w:rsid w:val="009212EC"/>
    <w:rPr>
      <w:rFonts w:ascii="Times New Roman" w:hAnsi="Times New Roman"/>
      <w:sz w:val="18"/>
      <w:szCs w:val="18"/>
      <w:lang w:val="en-GB" w:eastAsia="en-US"/>
    </w:rPr>
  </w:style>
  <w:style w:type="character" w:customStyle="1" w:styleId="TALCar">
    <w:name w:val="TAL Car"/>
    <w:link w:val="TAL"/>
    <w:qFormat/>
    <w:locked/>
    <w:rsid w:val="000371E4"/>
    <w:rPr>
      <w:rFonts w:ascii="Arial" w:eastAsia="Times New Roman" w:hAnsi="Arial"/>
      <w:sz w:val="18"/>
    </w:rPr>
  </w:style>
  <w:style w:type="paragraph" w:customStyle="1" w:styleId="TAL">
    <w:name w:val="TAL"/>
    <w:basedOn w:val="Normal"/>
    <w:link w:val="TALCar"/>
    <w:qFormat/>
    <w:rsid w:val="003E08FC"/>
    <w:pPr>
      <w:keepNext/>
      <w:keepLines/>
      <w:spacing w:after="0"/>
    </w:pPr>
    <w:rPr>
      <w:rFonts w:ascii="Arial" w:hAnsi="Arial"/>
      <w:sz w:val="18"/>
    </w:rPr>
  </w:style>
  <w:style w:type="paragraph" w:customStyle="1" w:styleId="TAH">
    <w:name w:val="TAH"/>
    <w:basedOn w:val="TAC"/>
    <w:link w:val="TAHCar"/>
    <w:qFormat/>
    <w:rsid w:val="003E08FC"/>
    <w:rPr>
      <w:b/>
    </w:rPr>
  </w:style>
  <w:style w:type="character" w:customStyle="1" w:styleId="THChar">
    <w:name w:val="TH Char"/>
    <w:link w:val="TH"/>
    <w:qFormat/>
    <w:locked/>
    <w:rsid w:val="000371E4"/>
    <w:rPr>
      <w:rFonts w:ascii="Arial" w:eastAsia="Times New Roman" w:hAnsi="Arial"/>
      <w:b/>
    </w:rPr>
  </w:style>
  <w:style w:type="paragraph" w:customStyle="1" w:styleId="TH">
    <w:name w:val="TH"/>
    <w:basedOn w:val="Normal"/>
    <w:link w:val="THChar"/>
    <w:qFormat/>
    <w:rsid w:val="003E08FC"/>
    <w:pPr>
      <w:keepNext/>
      <w:keepLines/>
      <w:spacing w:before="60"/>
      <w:jc w:val="center"/>
    </w:pPr>
    <w:rPr>
      <w:rFonts w:ascii="Arial" w:hAnsi="Arial"/>
      <w:b/>
    </w:rPr>
  </w:style>
  <w:style w:type="paragraph" w:customStyle="1" w:styleId="TAN">
    <w:name w:val="TAN"/>
    <w:basedOn w:val="TAL"/>
    <w:link w:val="TANChar"/>
    <w:qFormat/>
    <w:rsid w:val="003E08FC"/>
    <w:pPr>
      <w:ind w:left="851" w:hanging="851"/>
    </w:pPr>
  </w:style>
  <w:style w:type="character" w:customStyle="1" w:styleId="TAHCar">
    <w:name w:val="TAH Car"/>
    <w:link w:val="TAH"/>
    <w:qFormat/>
    <w:rsid w:val="00245C71"/>
    <w:rPr>
      <w:rFonts w:ascii="Arial" w:eastAsia="Times New Roman" w:hAnsi="Arial"/>
      <w:b/>
      <w:sz w:val="18"/>
    </w:rPr>
  </w:style>
  <w:style w:type="character" w:customStyle="1" w:styleId="TANChar">
    <w:name w:val="TAN Char"/>
    <w:link w:val="TAN"/>
    <w:qFormat/>
    <w:rsid w:val="00245C71"/>
    <w:rPr>
      <w:rFonts w:ascii="Arial" w:eastAsia="Times New Roman" w:hAnsi="Arial"/>
      <w:sz w:val="18"/>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3E08FC"/>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2,header odd1 Char,header odd2 Char,header Char,header odd3 Char,header odd4 Char,header odd5 Char,header odd6 Char,header1 Char,header2 Char,header3 Char,header odd11 Char,header odd21 Char,header odd7 Char,header4 Char"/>
    <w:link w:val="Header"/>
    <w:qFormat/>
    <w:rsid w:val="00B971DE"/>
    <w:rPr>
      <w:rFonts w:ascii="Arial" w:eastAsia="Times New Roman" w:hAnsi="Arial"/>
      <w:b/>
      <w:noProof/>
      <w:sz w:val="18"/>
    </w:rPr>
  </w:style>
  <w:style w:type="paragraph" w:styleId="Footer">
    <w:name w:val="footer"/>
    <w:aliases w:val="footer odd,footer,fo,pie de página"/>
    <w:basedOn w:val="Header"/>
    <w:link w:val="FooterChar"/>
    <w:qFormat/>
    <w:rsid w:val="003E08FC"/>
    <w:pPr>
      <w:jc w:val="center"/>
    </w:pPr>
    <w:rPr>
      <w:i/>
    </w:rPr>
  </w:style>
  <w:style w:type="character" w:customStyle="1" w:styleId="FooterChar">
    <w:name w:val="Footer Char"/>
    <w:aliases w:val="footer odd Char,footer Char,fo Char,pie de página Char"/>
    <w:link w:val="Footer"/>
    <w:qFormat/>
    <w:rsid w:val="00B971DE"/>
    <w:rPr>
      <w:rFonts w:ascii="Arial" w:eastAsia="Times New Roman" w:hAnsi="Arial"/>
      <w:b/>
      <w:i/>
      <w:noProof/>
      <w:sz w:val="18"/>
    </w:rPr>
  </w:style>
  <w:style w:type="paragraph" w:styleId="Date">
    <w:name w:val="Date"/>
    <w:basedOn w:val="Normal"/>
    <w:next w:val="Normal"/>
    <w:link w:val="DateChar"/>
    <w:uiPriority w:val="99"/>
    <w:unhideWhenUsed/>
    <w:qFormat/>
    <w:rsid w:val="004B3A83"/>
    <w:pPr>
      <w:ind w:leftChars="2500" w:left="100"/>
    </w:pPr>
  </w:style>
  <w:style w:type="character" w:customStyle="1" w:styleId="DateChar">
    <w:name w:val="Date Char"/>
    <w:link w:val="Date"/>
    <w:uiPriority w:val="99"/>
    <w:qFormat/>
    <w:rsid w:val="004B3A83"/>
    <w:rPr>
      <w:rFonts w:ascii="Times New Roman" w:hAnsi="Times New Roman"/>
      <w:lang w:val="en-GB"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Bullet 1,목록 단락"/>
    <w:basedOn w:val="Normal"/>
    <w:link w:val="ListParagraphChar"/>
    <w:uiPriority w:val="34"/>
    <w:qFormat/>
    <w:rsid w:val="00D5446B"/>
    <w:pPr>
      <w:ind w:firstLineChars="200" w:firstLine="420"/>
    </w:pPr>
  </w:style>
  <w:style w:type="character" w:customStyle="1" w:styleId="texhtml">
    <w:name w:val="texhtml"/>
    <w:basedOn w:val="DefaultParagraphFont"/>
    <w:rsid w:val="001A49E4"/>
  </w:style>
  <w:style w:type="paragraph" w:styleId="NormalWeb">
    <w:name w:val="Normal (Web)"/>
    <w:basedOn w:val="Normal"/>
    <w:unhideWhenUsed/>
    <w:qFormat/>
    <w:rsid w:val="00C43AF1"/>
    <w:pPr>
      <w:spacing w:before="100" w:beforeAutospacing="1" w:after="100" w:afterAutospacing="1"/>
    </w:pPr>
    <w:rPr>
      <w:rFonts w:ascii="SimSun" w:hAnsi="SimSun" w:cs="SimSun"/>
      <w:sz w:val="24"/>
      <w:szCs w:val="24"/>
      <w:lang w:val="en-US" w:eastAsia="zh-CN"/>
    </w:rPr>
  </w:style>
  <w:style w:type="paragraph" w:styleId="TOC8">
    <w:name w:val="toc 8"/>
    <w:basedOn w:val="TOC1"/>
    <w:qFormat/>
    <w:rsid w:val="003E08FC"/>
    <w:pPr>
      <w:spacing w:before="180"/>
      <w:ind w:left="2693" w:hanging="2693"/>
    </w:pPr>
    <w:rPr>
      <w:b/>
    </w:rPr>
  </w:style>
  <w:style w:type="paragraph" w:styleId="TOC1">
    <w:name w:val="toc 1"/>
    <w:qFormat/>
    <w:rsid w:val="003E08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qFormat/>
    <w:rsid w:val="003E08F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qFormat/>
    <w:rsid w:val="003E08FC"/>
    <w:pPr>
      <w:ind w:left="1701" w:hanging="1701"/>
    </w:pPr>
  </w:style>
  <w:style w:type="paragraph" w:styleId="TOC4">
    <w:name w:val="toc 4"/>
    <w:basedOn w:val="TOC3"/>
    <w:qFormat/>
    <w:rsid w:val="003E08FC"/>
    <w:pPr>
      <w:ind w:left="1418" w:hanging="1418"/>
    </w:pPr>
  </w:style>
  <w:style w:type="paragraph" w:styleId="TOC3">
    <w:name w:val="toc 3"/>
    <w:basedOn w:val="TOC2"/>
    <w:qFormat/>
    <w:rsid w:val="003E08FC"/>
    <w:pPr>
      <w:ind w:left="1134" w:hanging="1134"/>
    </w:pPr>
  </w:style>
  <w:style w:type="paragraph" w:styleId="TOC2">
    <w:name w:val="toc 2"/>
    <w:basedOn w:val="TOC1"/>
    <w:qFormat/>
    <w:rsid w:val="003E08FC"/>
    <w:pPr>
      <w:keepNext w:val="0"/>
      <w:spacing w:before="0"/>
      <w:ind w:left="851" w:hanging="851"/>
    </w:pPr>
    <w:rPr>
      <w:sz w:val="20"/>
    </w:rPr>
  </w:style>
  <w:style w:type="paragraph" w:styleId="Index2">
    <w:name w:val="index 2"/>
    <w:basedOn w:val="Index1"/>
    <w:qFormat/>
    <w:rsid w:val="003E08FC"/>
    <w:pPr>
      <w:ind w:left="284"/>
    </w:pPr>
  </w:style>
  <w:style w:type="paragraph" w:styleId="Index1">
    <w:name w:val="index 1"/>
    <w:basedOn w:val="Normal"/>
    <w:qFormat/>
    <w:rsid w:val="003E08FC"/>
    <w:pPr>
      <w:keepLines/>
      <w:spacing w:after="0"/>
    </w:pPr>
  </w:style>
  <w:style w:type="paragraph" w:customStyle="1" w:styleId="ZH">
    <w:name w:val="ZH"/>
    <w:qFormat/>
    <w:rsid w:val="003E08F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qFormat/>
    <w:rsid w:val="003E08FC"/>
    <w:pPr>
      <w:outlineLvl w:val="9"/>
    </w:pPr>
  </w:style>
  <w:style w:type="paragraph" w:styleId="ListNumber2">
    <w:name w:val="List Number 2"/>
    <w:basedOn w:val="ListNumber"/>
    <w:qFormat/>
    <w:rsid w:val="003E08F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3E08F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3E08F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3E08FC"/>
    <w:rPr>
      <w:rFonts w:ascii="Times New Roman" w:eastAsia="Times New Roman" w:hAnsi="Times New Roman"/>
      <w:sz w:val="16"/>
    </w:rPr>
  </w:style>
  <w:style w:type="paragraph" w:customStyle="1" w:styleId="TF">
    <w:name w:val="TF"/>
    <w:aliases w:val="left"/>
    <w:basedOn w:val="TH"/>
    <w:link w:val="TFChar"/>
    <w:qFormat/>
    <w:rsid w:val="003E08FC"/>
    <w:pPr>
      <w:keepNext w:val="0"/>
      <w:spacing w:before="0" w:after="240"/>
    </w:pPr>
  </w:style>
  <w:style w:type="paragraph" w:customStyle="1" w:styleId="NO">
    <w:name w:val="NO"/>
    <w:basedOn w:val="Normal"/>
    <w:link w:val="NOChar"/>
    <w:qFormat/>
    <w:rsid w:val="003E08FC"/>
    <w:pPr>
      <w:keepLines/>
      <w:ind w:left="1135" w:hanging="851"/>
    </w:pPr>
  </w:style>
  <w:style w:type="paragraph" w:styleId="TOC9">
    <w:name w:val="toc 9"/>
    <w:basedOn w:val="TOC8"/>
    <w:qFormat/>
    <w:rsid w:val="003E08FC"/>
    <w:pPr>
      <w:ind w:left="1418" w:hanging="1418"/>
    </w:pPr>
  </w:style>
  <w:style w:type="paragraph" w:customStyle="1" w:styleId="EX">
    <w:name w:val="EX"/>
    <w:basedOn w:val="Normal"/>
    <w:link w:val="EXChar"/>
    <w:qFormat/>
    <w:rsid w:val="003E08FC"/>
    <w:pPr>
      <w:keepLines/>
      <w:ind w:left="1702" w:hanging="1418"/>
    </w:pPr>
  </w:style>
  <w:style w:type="paragraph" w:customStyle="1" w:styleId="FP">
    <w:name w:val="FP"/>
    <w:basedOn w:val="Normal"/>
    <w:qFormat/>
    <w:rsid w:val="003E08FC"/>
    <w:pPr>
      <w:spacing w:after="0"/>
    </w:pPr>
  </w:style>
  <w:style w:type="paragraph" w:customStyle="1" w:styleId="LD">
    <w:name w:val="LD"/>
    <w:qFormat/>
    <w:rsid w:val="003E08F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qFormat/>
    <w:rsid w:val="003E08FC"/>
    <w:pPr>
      <w:spacing w:after="0"/>
    </w:pPr>
  </w:style>
  <w:style w:type="paragraph" w:customStyle="1" w:styleId="EW">
    <w:name w:val="EW"/>
    <w:basedOn w:val="EX"/>
    <w:qFormat/>
    <w:rsid w:val="003E08FC"/>
    <w:pPr>
      <w:spacing w:after="0"/>
    </w:pPr>
  </w:style>
  <w:style w:type="paragraph" w:styleId="TOC6">
    <w:name w:val="toc 6"/>
    <w:basedOn w:val="TOC5"/>
    <w:next w:val="Normal"/>
    <w:qFormat/>
    <w:rsid w:val="003E08FC"/>
    <w:pPr>
      <w:ind w:left="1985" w:hanging="1985"/>
    </w:pPr>
  </w:style>
  <w:style w:type="paragraph" w:styleId="TOC7">
    <w:name w:val="toc 7"/>
    <w:basedOn w:val="TOC6"/>
    <w:next w:val="Normal"/>
    <w:qFormat/>
    <w:rsid w:val="003E08FC"/>
    <w:pPr>
      <w:ind w:left="2268" w:hanging="2268"/>
    </w:pPr>
  </w:style>
  <w:style w:type="paragraph" w:styleId="ListBullet2">
    <w:name w:val="List Bullet 2"/>
    <w:basedOn w:val="ListBullet"/>
    <w:link w:val="ListBullet2Char"/>
    <w:qFormat/>
    <w:rsid w:val="003E08FC"/>
    <w:pPr>
      <w:ind w:left="851"/>
    </w:pPr>
  </w:style>
  <w:style w:type="paragraph" w:styleId="ListBullet3">
    <w:name w:val="List Bullet 3"/>
    <w:basedOn w:val="ListBullet2"/>
    <w:link w:val="ListBullet3Char"/>
    <w:qFormat/>
    <w:rsid w:val="003E08FC"/>
    <w:pPr>
      <w:ind w:left="1135"/>
    </w:pPr>
  </w:style>
  <w:style w:type="paragraph" w:styleId="ListNumber">
    <w:name w:val="List Number"/>
    <w:basedOn w:val="List"/>
    <w:qFormat/>
    <w:rsid w:val="003E08FC"/>
  </w:style>
  <w:style w:type="paragraph" w:customStyle="1" w:styleId="EQ">
    <w:name w:val="EQ"/>
    <w:basedOn w:val="Normal"/>
    <w:next w:val="Normal"/>
    <w:link w:val="EQChar"/>
    <w:qFormat/>
    <w:rsid w:val="003E08FC"/>
    <w:pPr>
      <w:keepLines/>
      <w:tabs>
        <w:tab w:val="center" w:pos="4536"/>
        <w:tab w:val="right" w:pos="9072"/>
      </w:tabs>
    </w:pPr>
    <w:rPr>
      <w:noProof/>
    </w:rPr>
  </w:style>
  <w:style w:type="paragraph" w:customStyle="1" w:styleId="NF">
    <w:name w:val="NF"/>
    <w:basedOn w:val="NO"/>
    <w:qFormat/>
    <w:rsid w:val="003E08FC"/>
    <w:pPr>
      <w:keepNext/>
      <w:spacing w:after="0"/>
    </w:pPr>
    <w:rPr>
      <w:rFonts w:ascii="Arial" w:hAnsi="Arial"/>
      <w:sz w:val="18"/>
    </w:rPr>
  </w:style>
  <w:style w:type="paragraph" w:customStyle="1" w:styleId="PL">
    <w:name w:val="PL"/>
    <w:link w:val="PLChar"/>
    <w:qFormat/>
    <w:rsid w:val="003E08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3E08FC"/>
    <w:pPr>
      <w:jc w:val="right"/>
    </w:pPr>
  </w:style>
  <w:style w:type="paragraph" w:customStyle="1" w:styleId="H6">
    <w:name w:val="H6"/>
    <w:basedOn w:val="Heading5"/>
    <w:next w:val="Normal"/>
    <w:link w:val="H6Char"/>
    <w:qFormat/>
    <w:rsid w:val="003E08FC"/>
    <w:pPr>
      <w:ind w:left="1985" w:hanging="1985"/>
      <w:outlineLvl w:val="9"/>
    </w:pPr>
    <w:rPr>
      <w:sz w:val="20"/>
    </w:rPr>
  </w:style>
  <w:style w:type="paragraph" w:customStyle="1" w:styleId="ZA">
    <w:name w:val="ZA"/>
    <w:qFormat/>
    <w:rsid w:val="003E08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3E08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qFormat/>
    <w:rsid w:val="003E08F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qFormat/>
    <w:rsid w:val="003E08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qFormat/>
    <w:rsid w:val="003E08FC"/>
    <w:pPr>
      <w:framePr w:wrap="notBeside" w:y="16161"/>
    </w:pPr>
  </w:style>
  <w:style w:type="character" w:customStyle="1" w:styleId="ZGSM">
    <w:name w:val="ZGSM"/>
    <w:qFormat/>
    <w:rsid w:val="003E08FC"/>
  </w:style>
  <w:style w:type="paragraph" w:styleId="List2">
    <w:name w:val="List 2"/>
    <w:basedOn w:val="List"/>
    <w:link w:val="List2Char"/>
    <w:qFormat/>
    <w:rsid w:val="003E08FC"/>
    <w:pPr>
      <w:ind w:left="851"/>
    </w:pPr>
  </w:style>
  <w:style w:type="paragraph" w:customStyle="1" w:styleId="ZG">
    <w:name w:val="ZG"/>
    <w:qFormat/>
    <w:rsid w:val="003E08F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qFormat/>
    <w:rsid w:val="003E08FC"/>
    <w:pPr>
      <w:ind w:left="1135"/>
    </w:pPr>
  </w:style>
  <w:style w:type="paragraph" w:styleId="List4">
    <w:name w:val="List 4"/>
    <w:basedOn w:val="List3"/>
    <w:qFormat/>
    <w:rsid w:val="003E08FC"/>
    <w:pPr>
      <w:ind w:left="1418"/>
    </w:pPr>
  </w:style>
  <w:style w:type="paragraph" w:styleId="List5">
    <w:name w:val="List 5"/>
    <w:basedOn w:val="List4"/>
    <w:qFormat/>
    <w:rsid w:val="003E08FC"/>
    <w:pPr>
      <w:ind w:left="1702"/>
    </w:pPr>
  </w:style>
  <w:style w:type="paragraph" w:customStyle="1" w:styleId="EditorsNote">
    <w:name w:val="Editor's Note"/>
    <w:aliases w:val="EN"/>
    <w:basedOn w:val="NO"/>
    <w:link w:val="EditorsNoteCarCar"/>
    <w:qFormat/>
    <w:rsid w:val="003E08FC"/>
    <w:rPr>
      <w:color w:val="FF0000"/>
    </w:rPr>
  </w:style>
  <w:style w:type="paragraph" w:styleId="List">
    <w:name w:val="List"/>
    <w:basedOn w:val="Normal"/>
    <w:link w:val="ListChar"/>
    <w:qFormat/>
    <w:rsid w:val="003E08FC"/>
    <w:pPr>
      <w:ind w:left="568" w:hanging="284"/>
    </w:pPr>
  </w:style>
  <w:style w:type="paragraph" w:styleId="ListBullet">
    <w:name w:val="List Bullet"/>
    <w:basedOn w:val="List"/>
    <w:link w:val="ListBulletChar"/>
    <w:qFormat/>
    <w:rsid w:val="003E08FC"/>
  </w:style>
  <w:style w:type="paragraph" w:styleId="ListBullet4">
    <w:name w:val="List Bullet 4"/>
    <w:basedOn w:val="ListBullet3"/>
    <w:qFormat/>
    <w:rsid w:val="003E08FC"/>
    <w:pPr>
      <w:ind w:left="1418"/>
    </w:pPr>
  </w:style>
  <w:style w:type="paragraph" w:styleId="ListBullet5">
    <w:name w:val="List Bullet 5"/>
    <w:basedOn w:val="ListBullet4"/>
    <w:qFormat/>
    <w:rsid w:val="003E08FC"/>
    <w:pPr>
      <w:ind w:left="1702"/>
    </w:pPr>
  </w:style>
  <w:style w:type="paragraph" w:customStyle="1" w:styleId="B10">
    <w:name w:val="B1"/>
    <w:basedOn w:val="List"/>
    <w:link w:val="B1Char"/>
    <w:qFormat/>
    <w:rsid w:val="003E08FC"/>
  </w:style>
  <w:style w:type="paragraph" w:customStyle="1" w:styleId="B20">
    <w:name w:val="B2"/>
    <w:basedOn w:val="List2"/>
    <w:link w:val="B2Char"/>
    <w:qFormat/>
    <w:rsid w:val="003E08FC"/>
  </w:style>
  <w:style w:type="paragraph" w:customStyle="1" w:styleId="B30">
    <w:name w:val="B3"/>
    <w:basedOn w:val="List3"/>
    <w:link w:val="B3Char"/>
    <w:qFormat/>
    <w:rsid w:val="003E08FC"/>
  </w:style>
  <w:style w:type="paragraph" w:customStyle="1" w:styleId="B4">
    <w:name w:val="B4"/>
    <w:basedOn w:val="List4"/>
    <w:link w:val="B4Char"/>
    <w:qFormat/>
    <w:rsid w:val="003E08FC"/>
  </w:style>
  <w:style w:type="paragraph" w:customStyle="1" w:styleId="B5">
    <w:name w:val="B5"/>
    <w:basedOn w:val="List5"/>
    <w:link w:val="B5Char"/>
    <w:qFormat/>
    <w:rsid w:val="003E08FC"/>
  </w:style>
  <w:style w:type="paragraph" w:customStyle="1" w:styleId="ZTD">
    <w:name w:val="ZTD"/>
    <w:basedOn w:val="ZB"/>
    <w:qFormat/>
    <w:rsid w:val="003E08FC"/>
    <w:pPr>
      <w:framePr w:hRule="auto" w:wrap="notBeside" w:y="852"/>
    </w:pPr>
    <w:rPr>
      <w:i w:val="0"/>
      <w:sz w:val="40"/>
    </w:rPr>
  </w:style>
  <w:style w:type="paragraph" w:styleId="Revision">
    <w:name w:val="Revision"/>
    <w:hidden/>
    <w:uiPriority w:val="99"/>
    <w:semiHidden/>
    <w:qFormat/>
    <w:rsid w:val="00554528"/>
    <w:rPr>
      <w:rFonts w:ascii="Times New Roman" w:eastAsia="Times New Roman" w:hAnsi="Times New Roman"/>
    </w:rPr>
  </w:style>
  <w:style w:type="paragraph" w:styleId="CommentText">
    <w:name w:val="annotation text"/>
    <w:basedOn w:val="Normal"/>
    <w:link w:val="CommentTextChar"/>
    <w:uiPriority w:val="99"/>
    <w:unhideWhenUsed/>
    <w:qFormat/>
  </w:style>
  <w:style w:type="character" w:customStyle="1" w:styleId="CommentTextChar">
    <w:name w:val="Comment Text Char"/>
    <w:basedOn w:val="DefaultParagraphFont"/>
    <w:link w:val="CommentText"/>
    <w:uiPriority w:val="99"/>
    <w:qFormat/>
    <w:rPr>
      <w:rFonts w:ascii="Times New Roman" w:eastAsia="Times New Roman" w:hAnsi="Times New Roman"/>
    </w:rPr>
  </w:style>
  <w:style w:type="character" w:styleId="CommentReference">
    <w:name w:val="annotation reference"/>
    <w:basedOn w:val="DefaultParagraphFont"/>
    <w:uiPriority w:val="99"/>
    <w:unhideWhenUsed/>
    <w:qFormat/>
    <w:rPr>
      <w:sz w:val="16"/>
      <w:szCs w:val="16"/>
    </w:rPr>
  </w:style>
  <w:style w:type="character" w:customStyle="1" w:styleId="cf01">
    <w:name w:val="cf01"/>
    <w:basedOn w:val="DefaultParagraphFont"/>
    <w:rsid w:val="001815F1"/>
    <w:rPr>
      <w:rFonts w:ascii="Segoe UI" w:hAnsi="Segoe UI" w:cs="Segoe UI" w:hint="default"/>
      <w:sz w:val="18"/>
      <w:szCs w:val="18"/>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uiPriority w:val="35"/>
    <w:qFormat/>
    <w:rsid w:val="00F2750F"/>
    <w:rPr>
      <w:rFonts w:ascii="Times New Roman" w:eastAsia="Times New Roman" w:hAnsi="Times New Roman"/>
      <w:b/>
      <w:bCs/>
      <w:lang w:val="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F2750F"/>
    <w:rPr>
      <w:rFonts w:ascii="Times New Roman" w:eastAsia="Times New Roman" w:hAnsi="Times New Roman"/>
    </w:rPr>
  </w:style>
  <w:style w:type="table" w:customStyle="1" w:styleId="Tabellengitternetz2">
    <w:name w:val="Tabellengitternetz2"/>
    <w:basedOn w:val="TableNormal"/>
    <w:qFormat/>
    <w:rsid w:val="007233FF"/>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acroText">
    <w:name w:val="macro"/>
    <w:link w:val="MacroTextChar"/>
    <w:uiPriority w:val="99"/>
    <w:qFormat/>
    <w:rsid w:val="00A40BD4"/>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lang w:val="en-US" w:eastAsia="zh-CN"/>
    </w:rPr>
  </w:style>
  <w:style w:type="character" w:customStyle="1" w:styleId="MacroTextChar">
    <w:name w:val="Macro Text Char"/>
    <w:basedOn w:val="DefaultParagraphFont"/>
    <w:link w:val="MacroText"/>
    <w:uiPriority w:val="99"/>
    <w:qFormat/>
    <w:rsid w:val="00A40BD4"/>
    <w:rPr>
      <w:rFonts w:ascii="Courier New" w:hAnsi="Courier New"/>
      <w:kern w:val="2"/>
      <w:sz w:val="24"/>
      <w:lang w:val="en-US" w:eastAsia="zh-CN"/>
    </w:rPr>
  </w:style>
  <w:style w:type="paragraph" w:styleId="NoteHeading">
    <w:name w:val="Note Heading"/>
    <w:basedOn w:val="Normal"/>
    <w:next w:val="Normal"/>
    <w:link w:val="NoteHeadingChar"/>
    <w:qFormat/>
    <w:rsid w:val="00A40BD4"/>
    <w:rPr>
      <w:rFonts w:eastAsia="MS Mincho"/>
      <w:lang w:eastAsia="zh-CN"/>
    </w:rPr>
  </w:style>
  <w:style w:type="character" w:customStyle="1" w:styleId="NoteHeadingChar">
    <w:name w:val="Note Heading Char"/>
    <w:basedOn w:val="DefaultParagraphFont"/>
    <w:link w:val="NoteHeading"/>
    <w:qFormat/>
    <w:rsid w:val="00A40BD4"/>
    <w:rPr>
      <w:rFonts w:ascii="Times New Roman" w:eastAsia="MS Mincho" w:hAnsi="Times New Roman"/>
      <w:lang w:eastAsia="zh-CN"/>
    </w:rPr>
  </w:style>
  <w:style w:type="paragraph" w:styleId="Index8">
    <w:name w:val="index 8"/>
    <w:basedOn w:val="Normal"/>
    <w:next w:val="Normal"/>
    <w:uiPriority w:val="99"/>
    <w:qFormat/>
    <w:rsid w:val="00A40BD4"/>
    <w:pPr>
      <w:widowControl w:val="0"/>
      <w:overflowPunct/>
      <w:autoSpaceDE/>
      <w:autoSpaceDN/>
      <w:adjustRightInd/>
      <w:spacing w:beforeLines="10" w:afterLines="10"/>
      <w:ind w:leftChars="1400" w:left="1400" w:hanging="578"/>
      <w:textAlignment w:val="auto"/>
    </w:pPr>
    <w:rPr>
      <w:kern w:val="2"/>
      <w:szCs w:val="24"/>
      <w:lang w:val="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A40BD4"/>
    <w:pPr>
      <w:overflowPunct/>
      <w:autoSpaceDE/>
      <w:autoSpaceDN/>
      <w:adjustRightInd/>
      <w:spacing w:after="0"/>
      <w:ind w:left="851"/>
      <w:textAlignment w:val="auto"/>
    </w:pPr>
    <w:rPr>
      <w:rFonts w:eastAsia="MS Mincho"/>
      <w:lang w:val="it-IT"/>
    </w:rPr>
  </w:style>
  <w:style w:type="paragraph" w:styleId="Index5">
    <w:name w:val="index 5"/>
    <w:basedOn w:val="Normal"/>
    <w:next w:val="Normal"/>
    <w:uiPriority w:val="99"/>
    <w:qFormat/>
    <w:rsid w:val="00A40BD4"/>
    <w:pPr>
      <w:widowControl w:val="0"/>
      <w:overflowPunct/>
      <w:autoSpaceDE/>
      <w:autoSpaceDN/>
      <w:adjustRightInd/>
      <w:spacing w:beforeLines="10" w:afterLines="10"/>
      <w:ind w:leftChars="800" w:left="800" w:hanging="578"/>
      <w:textAlignment w:val="auto"/>
    </w:pPr>
    <w:rPr>
      <w:kern w:val="2"/>
      <w:szCs w:val="24"/>
      <w:lang w:val="en-US"/>
    </w:rPr>
  </w:style>
  <w:style w:type="paragraph" w:styleId="Index6">
    <w:name w:val="index 6"/>
    <w:basedOn w:val="Normal"/>
    <w:next w:val="Normal"/>
    <w:uiPriority w:val="99"/>
    <w:qFormat/>
    <w:rsid w:val="00A40BD4"/>
    <w:pPr>
      <w:widowControl w:val="0"/>
      <w:overflowPunct/>
      <w:autoSpaceDE/>
      <w:autoSpaceDN/>
      <w:adjustRightInd/>
      <w:spacing w:beforeLines="10" w:afterLines="10"/>
      <w:ind w:leftChars="1000" w:left="1000" w:hanging="578"/>
      <w:textAlignment w:val="auto"/>
    </w:pPr>
    <w:rPr>
      <w:kern w:val="2"/>
      <w:szCs w:val="24"/>
      <w:lang w:val="en-US"/>
    </w:rPr>
  </w:style>
  <w:style w:type="paragraph" w:styleId="BodyText3">
    <w:name w:val="Body Text 3"/>
    <w:basedOn w:val="Normal"/>
    <w:link w:val="BodyText3Char"/>
    <w:uiPriority w:val="99"/>
    <w:qFormat/>
    <w:rsid w:val="00A40BD4"/>
    <w:pPr>
      <w:keepNext/>
      <w:keepLines/>
    </w:pPr>
    <w:rPr>
      <w:rFonts w:eastAsia="Osaka"/>
      <w:color w:val="000000"/>
      <w:lang w:eastAsia="en-US"/>
    </w:rPr>
  </w:style>
  <w:style w:type="character" w:customStyle="1" w:styleId="BodyText3Char">
    <w:name w:val="Body Text 3 Char"/>
    <w:basedOn w:val="DefaultParagraphFont"/>
    <w:link w:val="BodyText3"/>
    <w:uiPriority w:val="99"/>
    <w:qFormat/>
    <w:rsid w:val="00A40BD4"/>
    <w:rPr>
      <w:rFonts w:ascii="Times New Roman" w:eastAsia="Osaka" w:hAnsi="Times New Roman"/>
      <w:color w:val="000000"/>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A40BD4"/>
    <w:rPr>
      <w:rFonts w:eastAsia="MS Mincho"/>
      <w:lang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qFormat/>
    <w:rsid w:val="00A40BD4"/>
    <w:rPr>
      <w:rFonts w:ascii="Times New Roman" w:eastAsia="Times New Roman" w:hAnsi="Times New Roman"/>
    </w:rPr>
  </w:style>
  <w:style w:type="paragraph" w:styleId="BodyTextIndent">
    <w:name w:val="Body Text Indent"/>
    <w:basedOn w:val="Normal"/>
    <w:link w:val="BodyTextIndentChar"/>
    <w:qFormat/>
    <w:rsid w:val="00A40BD4"/>
    <w:pPr>
      <w:spacing w:after="120"/>
      <w:ind w:left="360"/>
    </w:pPr>
    <w:rPr>
      <w:rFonts w:eastAsia="SimSun"/>
      <w:lang w:eastAsia="en-US"/>
    </w:rPr>
  </w:style>
  <w:style w:type="character" w:customStyle="1" w:styleId="BodyTextIndentChar">
    <w:name w:val="Body Text Indent Char"/>
    <w:basedOn w:val="DefaultParagraphFont"/>
    <w:link w:val="BodyTextIndent"/>
    <w:qFormat/>
    <w:rsid w:val="00A40BD4"/>
    <w:rPr>
      <w:rFonts w:ascii="Times New Roman" w:hAnsi="Times New Roman"/>
      <w:lang w:eastAsia="en-US"/>
    </w:rPr>
  </w:style>
  <w:style w:type="paragraph" w:styleId="ListNumber3">
    <w:name w:val="List Number 3"/>
    <w:basedOn w:val="Normal"/>
    <w:uiPriority w:val="99"/>
    <w:qFormat/>
    <w:rsid w:val="00A40BD4"/>
    <w:pPr>
      <w:numPr>
        <w:numId w:val="2"/>
      </w:numPr>
      <w:tabs>
        <w:tab w:val="clear" w:pos="720"/>
        <w:tab w:val="left" w:pos="851"/>
        <w:tab w:val="left" w:pos="926"/>
      </w:tabs>
      <w:ind w:left="926" w:hanging="851"/>
    </w:pPr>
    <w:rPr>
      <w:rFonts w:eastAsia="MS Mincho"/>
    </w:rPr>
  </w:style>
  <w:style w:type="paragraph" w:styleId="BlockText">
    <w:name w:val="Block Text"/>
    <w:basedOn w:val="Normal"/>
    <w:qFormat/>
    <w:rsid w:val="00A40BD4"/>
    <w:pPr>
      <w:overflowPunct/>
      <w:autoSpaceDE/>
      <w:autoSpaceDN/>
      <w:adjustRightInd/>
      <w:spacing w:after="120"/>
      <w:ind w:left="1440" w:right="1440"/>
      <w:textAlignment w:val="auto"/>
    </w:pPr>
    <w:rPr>
      <w:rFonts w:eastAsia="MS Mincho"/>
      <w:lang w:eastAsia="en-US"/>
    </w:rPr>
  </w:style>
  <w:style w:type="paragraph" w:styleId="Index4">
    <w:name w:val="index 4"/>
    <w:basedOn w:val="Normal"/>
    <w:next w:val="Normal"/>
    <w:uiPriority w:val="99"/>
    <w:qFormat/>
    <w:rsid w:val="00A40BD4"/>
    <w:pPr>
      <w:widowControl w:val="0"/>
      <w:overflowPunct/>
      <w:autoSpaceDE/>
      <w:autoSpaceDN/>
      <w:adjustRightInd/>
      <w:spacing w:beforeLines="10" w:afterLines="10"/>
      <w:ind w:leftChars="600" w:left="600" w:hanging="578"/>
      <w:textAlignment w:val="auto"/>
    </w:pPr>
    <w:rPr>
      <w:kern w:val="2"/>
      <w:szCs w:val="24"/>
      <w:lang w:val="en-US"/>
    </w:rPr>
  </w:style>
  <w:style w:type="paragraph" w:styleId="PlainText">
    <w:name w:val="Plain Text"/>
    <w:basedOn w:val="Normal"/>
    <w:link w:val="PlainTextChar"/>
    <w:qFormat/>
    <w:rsid w:val="00A40BD4"/>
    <w:rPr>
      <w:rFonts w:ascii="Courier New" w:eastAsia="MS Mincho" w:hAnsi="Courier New"/>
      <w:lang w:val="nb-NO" w:eastAsia="ja-JP"/>
    </w:rPr>
  </w:style>
  <w:style w:type="character" w:customStyle="1" w:styleId="PlainTextChar">
    <w:name w:val="Plain Text Char"/>
    <w:basedOn w:val="DefaultParagraphFont"/>
    <w:link w:val="PlainText"/>
    <w:qFormat/>
    <w:rsid w:val="00A40BD4"/>
    <w:rPr>
      <w:rFonts w:ascii="Courier New" w:eastAsia="MS Mincho" w:hAnsi="Courier New"/>
      <w:lang w:val="nb-NO" w:eastAsia="ja-JP"/>
    </w:rPr>
  </w:style>
  <w:style w:type="paragraph" w:styleId="ListNumber4">
    <w:name w:val="List Number 4"/>
    <w:basedOn w:val="Normal"/>
    <w:uiPriority w:val="99"/>
    <w:qFormat/>
    <w:rsid w:val="00A40BD4"/>
    <w:pPr>
      <w:numPr>
        <w:numId w:val="3"/>
      </w:numPr>
      <w:tabs>
        <w:tab w:val="clear" w:pos="720"/>
        <w:tab w:val="left" w:pos="1209"/>
      </w:tabs>
      <w:ind w:left="1209"/>
    </w:pPr>
    <w:rPr>
      <w:rFonts w:eastAsia="MS Mincho"/>
    </w:rPr>
  </w:style>
  <w:style w:type="paragraph" w:styleId="Index3">
    <w:name w:val="index 3"/>
    <w:basedOn w:val="Normal"/>
    <w:next w:val="Normal"/>
    <w:uiPriority w:val="99"/>
    <w:qFormat/>
    <w:rsid w:val="00A40BD4"/>
    <w:pPr>
      <w:widowControl w:val="0"/>
      <w:overflowPunct/>
      <w:autoSpaceDE/>
      <w:autoSpaceDN/>
      <w:adjustRightInd/>
      <w:spacing w:beforeLines="10" w:afterLines="10"/>
      <w:ind w:leftChars="400" w:left="400" w:hanging="578"/>
      <w:textAlignment w:val="auto"/>
    </w:pPr>
    <w:rPr>
      <w:kern w:val="2"/>
      <w:szCs w:val="24"/>
      <w:lang w:val="en-US"/>
    </w:rPr>
  </w:style>
  <w:style w:type="paragraph" w:styleId="BodyTextIndent2">
    <w:name w:val="Body Text Indent 2"/>
    <w:basedOn w:val="Normal"/>
    <w:link w:val="BodyTextIndent2Char"/>
    <w:uiPriority w:val="99"/>
    <w:qFormat/>
    <w:rsid w:val="00A40BD4"/>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A40BD4"/>
    <w:rPr>
      <w:rFonts w:ascii="Times New Roman" w:eastAsia="MS Mincho" w:hAnsi="Times New Roman"/>
    </w:rPr>
  </w:style>
  <w:style w:type="paragraph" w:styleId="EndnoteText">
    <w:name w:val="endnote text"/>
    <w:basedOn w:val="Normal"/>
    <w:link w:val="EndnoteTextChar"/>
    <w:uiPriority w:val="99"/>
    <w:qFormat/>
    <w:rsid w:val="00A40BD4"/>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uiPriority w:val="99"/>
    <w:qFormat/>
    <w:rsid w:val="00A40BD4"/>
    <w:rPr>
      <w:rFonts w:ascii="Times New Roman" w:hAnsi="Times New Roman"/>
      <w:lang w:eastAsia="en-US"/>
    </w:rPr>
  </w:style>
  <w:style w:type="paragraph" w:styleId="IndexHeading">
    <w:name w:val="index heading"/>
    <w:basedOn w:val="Normal"/>
    <w:next w:val="Normal"/>
    <w:qFormat/>
    <w:rsid w:val="00A40BD4"/>
    <w:pPr>
      <w:pBdr>
        <w:top w:val="single" w:sz="12" w:space="0" w:color="auto"/>
      </w:pBdr>
      <w:spacing w:before="360" w:after="240"/>
    </w:pPr>
    <w:rPr>
      <w:rFonts w:eastAsia="MS Mincho"/>
      <w:b/>
      <w:i/>
      <w:sz w:val="26"/>
      <w:lang w:eastAsia="en-US"/>
    </w:rPr>
  </w:style>
  <w:style w:type="paragraph" w:styleId="ListNumber5">
    <w:name w:val="List Number 5"/>
    <w:basedOn w:val="Normal"/>
    <w:uiPriority w:val="99"/>
    <w:qFormat/>
    <w:rsid w:val="00A40BD4"/>
    <w:pPr>
      <w:tabs>
        <w:tab w:val="left" w:pos="851"/>
        <w:tab w:val="left" w:pos="1800"/>
      </w:tabs>
      <w:ind w:left="1800" w:hanging="851"/>
    </w:pPr>
    <w:rPr>
      <w:rFonts w:eastAsia="MS Mincho"/>
    </w:rPr>
  </w:style>
  <w:style w:type="paragraph" w:styleId="BodyTextIndent3">
    <w:name w:val="Body Text Indent 3"/>
    <w:basedOn w:val="Normal"/>
    <w:link w:val="BodyTextIndent3Char"/>
    <w:uiPriority w:val="99"/>
    <w:qFormat/>
    <w:rsid w:val="00A40BD4"/>
    <w:pPr>
      <w:ind w:left="1080"/>
    </w:pPr>
    <w:rPr>
      <w:rFonts w:eastAsia="Yu Mincho"/>
      <w:lang w:eastAsia="en-US"/>
    </w:rPr>
  </w:style>
  <w:style w:type="character" w:customStyle="1" w:styleId="BodyTextIndent3Char">
    <w:name w:val="Body Text Indent 3 Char"/>
    <w:basedOn w:val="DefaultParagraphFont"/>
    <w:link w:val="BodyTextIndent3"/>
    <w:uiPriority w:val="99"/>
    <w:qFormat/>
    <w:rsid w:val="00A40BD4"/>
    <w:rPr>
      <w:rFonts w:ascii="Times New Roman" w:eastAsia="Yu Mincho" w:hAnsi="Times New Roman"/>
      <w:lang w:eastAsia="en-US"/>
    </w:rPr>
  </w:style>
  <w:style w:type="paragraph" w:styleId="Index7">
    <w:name w:val="index 7"/>
    <w:basedOn w:val="Normal"/>
    <w:next w:val="Normal"/>
    <w:uiPriority w:val="99"/>
    <w:qFormat/>
    <w:rsid w:val="00A40BD4"/>
    <w:pPr>
      <w:widowControl w:val="0"/>
      <w:overflowPunct/>
      <w:autoSpaceDE/>
      <w:autoSpaceDN/>
      <w:adjustRightInd/>
      <w:spacing w:beforeLines="10" w:afterLines="10"/>
      <w:ind w:leftChars="1200" w:left="1200" w:hanging="578"/>
      <w:textAlignment w:val="auto"/>
    </w:pPr>
    <w:rPr>
      <w:kern w:val="2"/>
      <w:szCs w:val="24"/>
      <w:lang w:val="en-US"/>
    </w:rPr>
  </w:style>
  <w:style w:type="paragraph" w:styleId="Index9">
    <w:name w:val="index 9"/>
    <w:basedOn w:val="Normal"/>
    <w:next w:val="Normal"/>
    <w:uiPriority w:val="99"/>
    <w:qFormat/>
    <w:rsid w:val="00A40BD4"/>
    <w:pPr>
      <w:widowControl w:val="0"/>
      <w:overflowPunct/>
      <w:autoSpaceDE/>
      <w:autoSpaceDN/>
      <w:adjustRightInd/>
      <w:spacing w:beforeLines="10" w:afterLines="10"/>
      <w:ind w:leftChars="1600" w:left="1600" w:hanging="578"/>
      <w:textAlignment w:val="auto"/>
    </w:pPr>
    <w:rPr>
      <w:kern w:val="2"/>
      <w:szCs w:val="24"/>
      <w:lang w:val="en-US"/>
    </w:rPr>
  </w:style>
  <w:style w:type="paragraph" w:styleId="TableofFigures">
    <w:name w:val="table of figures"/>
    <w:basedOn w:val="Normal"/>
    <w:next w:val="Normal"/>
    <w:uiPriority w:val="99"/>
    <w:qFormat/>
    <w:rsid w:val="00A40BD4"/>
    <w:pPr>
      <w:ind w:left="400" w:hanging="400"/>
      <w:jc w:val="center"/>
    </w:pPr>
    <w:rPr>
      <w:rFonts w:eastAsia="Yu Mincho"/>
      <w:b/>
      <w:lang w:eastAsia="en-US"/>
    </w:rPr>
  </w:style>
  <w:style w:type="paragraph" w:styleId="BodyText2">
    <w:name w:val="Body Text 2"/>
    <w:basedOn w:val="Normal"/>
    <w:link w:val="BodyText2Char"/>
    <w:uiPriority w:val="99"/>
    <w:qFormat/>
    <w:rsid w:val="00A40BD4"/>
    <w:rPr>
      <w:rFonts w:eastAsia="MS Mincho"/>
      <w:i/>
      <w:lang w:eastAsia="en-US"/>
    </w:rPr>
  </w:style>
  <w:style w:type="character" w:customStyle="1" w:styleId="BodyText2Char">
    <w:name w:val="Body Text 2 Char"/>
    <w:basedOn w:val="DefaultParagraphFont"/>
    <w:link w:val="BodyText2"/>
    <w:uiPriority w:val="99"/>
    <w:qFormat/>
    <w:rsid w:val="00A40BD4"/>
    <w:rPr>
      <w:rFonts w:ascii="Times New Roman" w:eastAsia="MS Mincho" w:hAnsi="Times New Roman"/>
      <w:i/>
      <w:lang w:eastAsia="en-US"/>
    </w:rPr>
  </w:style>
  <w:style w:type="paragraph" w:styleId="HTMLPreformatted">
    <w:name w:val="HTML Preformatted"/>
    <w:basedOn w:val="Normal"/>
    <w:link w:val="HTMLPreformattedChar"/>
    <w:qFormat/>
    <w:rsid w:val="00A40BD4"/>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A40BD4"/>
    <w:rPr>
      <w:rFonts w:ascii="Courier New" w:eastAsia="MS Mincho" w:hAnsi="Courier New"/>
      <w:lang w:eastAsia="zh-CN"/>
    </w:rPr>
  </w:style>
  <w:style w:type="paragraph" w:styleId="Title">
    <w:name w:val="Title"/>
    <w:basedOn w:val="Normal"/>
    <w:next w:val="Normal"/>
    <w:link w:val="TitleChar"/>
    <w:uiPriority w:val="99"/>
    <w:qFormat/>
    <w:rsid w:val="00A40BD4"/>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uiPriority w:val="99"/>
    <w:qFormat/>
    <w:rsid w:val="00A40BD4"/>
    <w:rPr>
      <w:rFonts w:ascii="Courier New" w:eastAsia="MS Mincho" w:hAnsi="Courier New"/>
      <w:lang w:val="nb-NO" w:eastAsia="en-US"/>
    </w:rPr>
  </w:style>
  <w:style w:type="paragraph" w:styleId="CommentSubject">
    <w:name w:val="annotation subject"/>
    <w:basedOn w:val="CommentText"/>
    <w:next w:val="CommentText"/>
    <w:link w:val="CommentSubjectChar"/>
    <w:qFormat/>
    <w:rsid w:val="00A40BD4"/>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qFormat/>
    <w:rsid w:val="00A40BD4"/>
    <w:rPr>
      <w:rFonts w:ascii="Times New Roman" w:eastAsiaTheme="minorEastAsia" w:hAnsi="Times New Roman"/>
      <w:b/>
      <w:bCs/>
      <w:lang w:eastAsia="en-US"/>
    </w:rPr>
  </w:style>
  <w:style w:type="table" w:styleId="TableElegant">
    <w:name w:val="Table Elegant"/>
    <w:basedOn w:val="TableNormal"/>
    <w:qFormat/>
    <w:rsid w:val="00A40BD4"/>
    <w:pPr>
      <w:spacing w:after="180" w:line="259" w:lineRule="auto"/>
    </w:pPr>
    <w:rPr>
      <w:rFonts w:ascii="Times New Roman"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TableClassic2">
    <w:name w:val="Table Classic 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Grid1">
    <w:name w:val="Table Grid 1"/>
    <w:basedOn w:val="TableNormal"/>
    <w:qFormat/>
    <w:rsid w:val="00A40BD4"/>
    <w:pPr>
      <w:spacing w:after="180"/>
    </w:pPr>
    <w:rPr>
      <w:rFonts w:ascii="Times New Roman" w:hAnsi="Times New Roma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qFormat/>
    <w:rsid w:val="00A40BD4"/>
    <w:rPr>
      <w:b/>
      <w:bCs/>
    </w:rPr>
  </w:style>
  <w:style w:type="character" w:styleId="EndnoteReference">
    <w:name w:val="endnote reference"/>
    <w:qFormat/>
    <w:rsid w:val="00A40BD4"/>
    <w:rPr>
      <w:vertAlign w:val="superscript"/>
    </w:rPr>
  </w:style>
  <w:style w:type="character" w:styleId="PageNumber">
    <w:name w:val="page number"/>
    <w:qFormat/>
    <w:rsid w:val="00A40BD4"/>
  </w:style>
  <w:style w:type="character" w:styleId="FollowedHyperlink">
    <w:name w:val="FollowedHyperlink"/>
    <w:aliases w:val="已访问的超链接"/>
    <w:qFormat/>
    <w:rsid w:val="00A40BD4"/>
    <w:rPr>
      <w:color w:val="800080"/>
      <w:u w:val="single"/>
    </w:rPr>
  </w:style>
  <w:style w:type="character" w:styleId="Emphasis">
    <w:name w:val="Emphasis"/>
    <w:uiPriority w:val="20"/>
    <w:qFormat/>
    <w:rsid w:val="00A40BD4"/>
    <w:rPr>
      <w:i/>
      <w:iCs/>
    </w:rPr>
  </w:style>
  <w:style w:type="character" w:styleId="LineNumber">
    <w:name w:val="line number"/>
    <w:basedOn w:val="DefaultParagraphFont"/>
    <w:qFormat/>
    <w:rsid w:val="00A40BD4"/>
    <w:rPr>
      <w:rFonts w:ascii="Arial" w:eastAsia="SimSun" w:hAnsi="Arial" w:cs="Arial"/>
      <w:color w:val="0000FF"/>
      <w:kern w:val="2"/>
      <w:lang w:val="en-US" w:eastAsia="zh-CN" w:bidi="ar-SA"/>
    </w:rPr>
  </w:style>
  <w:style w:type="character" w:styleId="HTMLTypewriter">
    <w:name w:val="HTML Typewriter"/>
    <w:qFormat/>
    <w:rsid w:val="00A40BD4"/>
    <w:rPr>
      <w:rFonts w:ascii="Courier New" w:eastAsia="Times New Roman" w:hAnsi="Courier New" w:cs="Courier New"/>
      <w:sz w:val="20"/>
      <w:szCs w:val="20"/>
    </w:rPr>
  </w:style>
  <w:style w:type="character" w:styleId="Hyperlink">
    <w:name w:val="Hyperlink"/>
    <w:qFormat/>
    <w:rsid w:val="00A40BD4"/>
    <w:rPr>
      <w:color w:val="0000FF"/>
      <w:u w:val="single"/>
    </w:rPr>
  </w:style>
  <w:style w:type="character" w:styleId="HTMLCode">
    <w:name w:val="HTML Code"/>
    <w:unhideWhenUsed/>
    <w:qFormat/>
    <w:rsid w:val="00A40BD4"/>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A40BD4"/>
    <w:rPr>
      <w:rFonts w:ascii="Courier New" w:eastAsia="SimSun" w:hAnsi="Courier New" w:cs="Courier New"/>
      <w:color w:val="0000FF"/>
      <w:kern w:val="2"/>
      <w:lang w:val="en-US" w:eastAsia="zh-CN" w:bidi="ar-SA"/>
    </w:rPr>
  </w:style>
  <w:style w:type="paragraph" w:customStyle="1" w:styleId="FL">
    <w:name w:val="FL"/>
    <w:basedOn w:val="Normal"/>
    <w:qFormat/>
    <w:rsid w:val="00A40BD4"/>
    <w:pPr>
      <w:keepNext/>
      <w:keepLines/>
      <w:spacing w:before="60"/>
      <w:jc w:val="center"/>
    </w:pPr>
    <w:rPr>
      <w:rFonts w:ascii="Arial" w:eastAsia="SimSun" w:hAnsi="Arial"/>
      <w:b/>
      <w:lang w:eastAsia="en-US"/>
    </w:rPr>
  </w:style>
  <w:style w:type="paragraph" w:customStyle="1" w:styleId="CRCoverPage">
    <w:name w:val="CR Cover Page"/>
    <w:link w:val="CRCoverPageChar"/>
    <w:qFormat/>
    <w:rsid w:val="00A40BD4"/>
    <w:pPr>
      <w:spacing w:after="120"/>
    </w:pPr>
    <w:rPr>
      <w:rFonts w:ascii="Arial" w:eastAsiaTheme="minorEastAsia" w:hAnsi="Arial"/>
      <w:lang w:eastAsia="en-US"/>
    </w:rPr>
  </w:style>
  <w:style w:type="paragraph" w:customStyle="1" w:styleId="tdoc-header">
    <w:name w:val="tdoc-header"/>
    <w:qFormat/>
    <w:rsid w:val="00A40BD4"/>
    <w:rPr>
      <w:rFonts w:ascii="Arial" w:eastAsiaTheme="minorEastAsia" w:hAnsi="Arial"/>
      <w:sz w:val="24"/>
      <w:lang w:eastAsia="en-US"/>
    </w:rPr>
  </w:style>
  <w:style w:type="character" w:customStyle="1" w:styleId="Heading1Char2">
    <w:name w:val="Heading 1 Char2"/>
    <w:aliases w:val="Char Char17,NMP Heading 1 Char4,H1 Char4,h1 Char4,app heading 1 Char4,l1 Char4,Memo Heading 1 Char4,h11 Char4,h12 Char4,h13 Char4,h14 Char4,h15 Char4,h16 Char4,h17 Char4,h111 Char4,h121 Char4,h131 Char4,h141 Char4,h151 Char4,h161 Char3"/>
    <w:qFormat/>
    <w:rsid w:val="00A40BD4"/>
    <w:rPr>
      <w:rFonts w:ascii="Arial" w:hAnsi="Arial"/>
      <w:sz w:val="36"/>
      <w:lang w:val="en-GB" w:eastAsia="en-US"/>
    </w:rPr>
  </w:style>
  <w:style w:type="character" w:customStyle="1" w:styleId="UnresolvedMention1">
    <w:name w:val="Unresolved Mention1"/>
    <w:uiPriority w:val="99"/>
    <w:unhideWhenUsed/>
    <w:qFormat/>
    <w:rsid w:val="00A40BD4"/>
    <w:rPr>
      <w:color w:val="808080"/>
      <w:shd w:val="clear" w:color="auto" w:fill="E6E6E6"/>
    </w:rPr>
  </w:style>
  <w:style w:type="paragraph" w:customStyle="1" w:styleId="TAJ">
    <w:name w:val="TAJ"/>
    <w:basedOn w:val="Normal"/>
    <w:qFormat/>
    <w:rsid w:val="00A40BD4"/>
    <w:pPr>
      <w:keepNext/>
      <w:keepLines/>
      <w:spacing w:after="0"/>
      <w:jc w:val="both"/>
    </w:pPr>
    <w:rPr>
      <w:rFonts w:ascii="Arial" w:eastAsia="SimSun" w:hAnsi="Arial"/>
      <w:sz w:val="18"/>
      <w:lang w:eastAsia="en-US"/>
    </w:rPr>
  </w:style>
  <w:style w:type="paragraph" w:customStyle="1" w:styleId="B1">
    <w:name w:val="B1+"/>
    <w:basedOn w:val="B10"/>
    <w:link w:val="B1Car"/>
    <w:qFormat/>
    <w:rsid w:val="00A40BD4"/>
    <w:pPr>
      <w:numPr>
        <w:numId w:val="4"/>
      </w:numPr>
      <w:tabs>
        <w:tab w:val="clear" w:pos="737"/>
      </w:tabs>
      <w:ind w:left="567" w:hanging="283"/>
    </w:pPr>
    <w:rPr>
      <w:rFonts w:eastAsia="SimSun"/>
      <w:lang w:eastAsia="en-US"/>
    </w:rPr>
  </w:style>
  <w:style w:type="character" w:customStyle="1" w:styleId="NOChar">
    <w:name w:val="NO Char"/>
    <w:link w:val="NO"/>
    <w:qFormat/>
    <w:rsid w:val="00A40BD4"/>
    <w:rPr>
      <w:rFonts w:ascii="Times New Roman" w:eastAsia="Times New Roman" w:hAnsi="Times New Roman"/>
    </w:rPr>
  </w:style>
  <w:style w:type="character" w:customStyle="1" w:styleId="B1Char">
    <w:name w:val="B1 Char"/>
    <w:link w:val="B10"/>
    <w:qFormat/>
    <w:locked/>
    <w:rsid w:val="00A40BD4"/>
    <w:rPr>
      <w:rFonts w:ascii="Times New Roman" w:eastAsia="Times New Roman" w:hAnsi="Times New Roman"/>
    </w:rPr>
  </w:style>
  <w:style w:type="character" w:customStyle="1" w:styleId="B2Char">
    <w:name w:val="B2 Char"/>
    <w:link w:val="B20"/>
    <w:qFormat/>
    <w:locked/>
    <w:rsid w:val="00A40BD4"/>
    <w:rPr>
      <w:rFonts w:ascii="Times New Roman" w:eastAsia="Times New Roman" w:hAnsi="Times New Roman"/>
    </w:rPr>
  </w:style>
  <w:style w:type="paragraph" w:customStyle="1" w:styleId="a2">
    <w:name w:val="样式 页眉"/>
    <w:basedOn w:val="Header"/>
    <w:link w:val="Char"/>
    <w:qFormat/>
    <w:rsid w:val="00A40BD4"/>
    <w:pPr>
      <w:spacing w:after="180"/>
    </w:pPr>
    <w:rPr>
      <w:rFonts w:eastAsia="Arial"/>
      <w:bCs/>
      <w:noProof w:val="0"/>
      <w:sz w:val="22"/>
      <w:lang w:eastAsia="en-US"/>
    </w:rPr>
  </w:style>
  <w:style w:type="character" w:customStyle="1" w:styleId="TFChar">
    <w:name w:val="TF Char"/>
    <w:link w:val="TF"/>
    <w:qFormat/>
    <w:rsid w:val="00A40BD4"/>
    <w:rPr>
      <w:rFonts w:ascii="Arial" w:eastAsia="Times New Roman" w:hAnsi="Arial"/>
      <w:b/>
    </w:rPr>
  </w:style>
  <w:style w:type="character" w:customStyle="1" w:styleId="TALChar">
    <w:name w:val="TAL Char"/>
    <w:qFormat/>
    <w:locked/>
    <w:rsid w:val="00A40BD4"/>
    <w:rPr>
      <w:rFonts w:ascii="Arial" w:hAnsi="Arial" w:cs="Arial"/>
      <w:sz w:val="18"/>
      <w:lang w:val="en-GB"/>
    </w:rPr>
  </w:style>
  <w:style w:type="paragraph" w:customStyle="1" w:styleId="TableText">
    <w:name w:val="TableText"/>
    <w:basedOn w:val="BodyTextIndent"/>
    <w:qFormat/>
    <w:rsid w:val="00A40BD4"/>
    <w:pPr>
      <w:keepNext/>
      <w:keepLines/>
      <w:snapToGrid w:val="0"/>
      <w:spacing w:after="180"/>
      <w:ind w:left="0"/>
      <w:jc w:val="center"/>
    </w:pPr>
    <w:rPr>
      <w:kern w:val="2"/>
    </w:rPr>
  </w:style>
  <w:style w:type="character" w:customStyle="1" w:styleId="EXChar">
    <w:name w:val="EX Char"/>
    <w:link w:val="EX"/>
    <w:qFormat/>
    <w:locked/>
    <w:rsid w:val="00A40BD4"/>
    <w:rPr>
      <w:rFonts w:ascii="Times New Roman" w:eastAsia="Times New Roman" w:hAnsi="Times New Roman"/>
    </w:rPr>
  </w:style>
  <w:style w:type="paragraph" w:customStyle="1" w:styleId="B2">
    <w:name w:val="B2+"/>
    <w:basedOn w:val="B20"/>
    <w:qFormat/>
    <w:rsid w:val="00A40BD4"/>
    <w:pPr>
      <w:numPr>
        <w:numId w:val="5"/>
      </w:numPr>
      <w:tabs>
        <w:tab w:val="clear" w:pos="1191"/>
        <w:tab w:val="left" w:pos="720"/>
      </w:tabs>
      <w:ind w:left="720" w:hanging="360"/>
    </w:pPr>
    <w:rPr>
      <w:rFonts w:eastAsia="SimSun"/>
      <w:lang w:eastAsia="en-US"/>
    </w:rPr>
  </w:style>
  <w:style w:type="paragraph" w:customStyle="1" w:styleId="B3">
    <w:name w:val="B3+"/>
    <w:basedOn w:val="B30"/>
    <w:qFormat/>
    <w:rsid w:val="00A40BD4"/>
    <w:pPr>
      <w:numPr>
        <w:numId w:val="6"/>
      </w:numPr>
      <w:tabs>
        <w:tab w:val="clear" w:pos="1644"/>
        <w:tab w:val="left" w:pos="737"/>
        <w:tab w:val="left" w:pos="1134"/>
      </w:tabs>
      <w:ind w:left="737"/>
    </w:pPr>
    <w:rPr>
      <w:rFonts w:eastAsia="SimSun"/>
      <w:lang w:eastAsia="en-US"/>
    </w:rPr>
  </w:style>
  <w:style w:type="paragraph" w:customStyle="1" w:styleId="BL">
    <w:name w:val="BL"/>
    <w:basedOn w:val="Normal"/>
    <w:qFormat/>
    <w:rsid w:val="00A40BD4"/>
    <w:pPr>
      <w:numPr>
        <w:numId w:val="7"/>
      </w:numPr>
      <w:tabs>
        <w:tab w:val="clear" w:pos="737"/>
        <w:tab w:val="left" w:pos="851"/>
        <w:tab w:val="left" w:pos="1191"/>
      </w:tabs>
      <w:ind w:left="1191" w:hanging="454"/>
    </w:pPr>
    <w:rPr>
      <w:rFonts w:eastAsia="SimSun"/>
      <w:lang w:eastAsia="en-US"/>
    </w:rPr>
  </w:style>
  <w:style w:type="paragraph" w:customStyle="1" w:styleId="BN">
    <w:name w:val="BN"/>
    <w:basedOn w:val="Normal"/>
    <w:qFormat/>
    <w:rsid w:val="00A40BD4"/>
    <w:pPr>
      <w:numPr>
        <w:numId w:val="8"/>
      </w:numPr>
      <w:tabs>
        <w:tab w:val="clear" w:pos="737"/>
        <w:tab w:val="left" w:pos="1644"/>
      </w:tabs>
      <w:ind w:left="1644"/>
    </w:pPr>
    <w:rPr>
      <w:rFonts w:eastAsia="SimSun"/>
      <w:lang w:eastAsia="en-US"/>
    </w:rPr>
  </w:style>
  <w:style w:type="paragraph" w:customStyle="1" w:styleId="TB1">
    <w:name w:val="TB1"/>
    <w:basedOn w:val="Normal"/>
    <w:qFormat/>
    <w:rsid w:val="00A40BD4"/>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A40BD4"/>
    <w:pPr>
      <w:keepNext/>
      <w:keepLines/>
      <w:numPr>
        <w:numId w:val="10"/>
      </w:numPr>
      <w:tabs>
        <w:tab w:val="left" w:pos="737"/>
        <w:tab w:val="left" w:pos="1109"/>
      </w:tabs>
      <w:spacing w:after="0"/>
      <w:ind w:left="1100" w:hanging="380"/>
    </w:pPr>
    <w:rPr>
      <w:rFonts w:ascii="Arial" w:eastAsia="SimSun" w:hAnsi="Arial"/>
      <w:sz w:val="18"/>
      <w:lang w:eastAsia="en-US"/>
    </w:rPr>
  </w:style>
  <w:style w:type="paragraph" w:customStyle="1" w:styleId="Guidance">
    <w:name w:val="Guidance"/>
    <w:basedOn w:val="Normal"/>
    <w:link w:val="GuidanceChar"/>
    <w:qFormat/>
    <w:rsid w:val="00A40BD4"/>
    <w:pPr>
      <w:overflowPunct/>
      <w:autoSpaceDE/>
      <w:autoSpaceDN/>
      <w:adjustRightInd/>
      <w:textAlignment w:val="auto"/>
    </w:pPr>
    <w:rPr>
      <w:i/>
      <w:color w:val="0000FF"/>
      <w:lang w:eastAsia="en-US"/>
    </w:rPr>
  </w:style>
  <w:style w:type="paragraph" w:customStyle="1" w:styleId="11">
    <w:name w:val="修订1"/>
    <w:hidden/>
    <w:semiHidden/>
    <w:qFormat/>
    <w:rsid w:val="00A40BD4"/>
    <w:rPr>
      <w:rFonts w:ascii="Times New Roman" w:hAnsi="Times New Roman"/>
      <w:lang w:eastAsia="en-US"/>
    </w:rPr>
  </w:style>
  <w:style w:type="character" w:customStyle="1" w:styleId="fontstyle01">
    <w:name w:val="fontstyle01"/>
    <w:qFormat/>
    <w:rsid w:val="00A40BD4"/>
    <w:rPr>
      <w:rFonts w:ascii="TimesNewRomanPSMT" w:hAnsi="TimesNewRomanPSMT" w:hint="default"/>
      <w:color w:val="000000"/>
      <w:sz w:val="20"/>
      <w:szCs w:val="20"/>
    </w:rPr>
  </w:style>
  <w:style w:type="character" w:customStyle="1" w:styleId="EQChar">
    <w:name w:val="EQ Char"/>
    <w:link w:val="EQ"/>
    <w:qFormat/>
    <w:locked/>
    <w:rsid w:val="00A40BD4"/>
    <w:rPr>
      <w:rFonts w:ascii="Times New Roman" w:eastAsia="Times New Roman" w:hAnsi="Times New Roman"/>
      <w:noProof/>
    </w:rPr>
  </w:style>
  <w:style w:type="paragraph" w:customStyle="1" w:styleId="Default">
    <w:name w:val="Default"/>
    <w:qFormat/>
    <w:rsid w:val="00A40BD4"/>
    <w:pPr>
      <w:widowControl w:val="0"/>
      <w:autoSpaceDE w:val="0"/>
      <w:autoSpaceDN w:val="0"/>
      <w:adjustRightInd w:val="0"/>
    </w:pPr>
    <w:rPr>
      <w:rFonts w:ascii="Arial" w:eastAsia="MS Mincho" w:hAnsi="Arial" w:cs="Arial"/>
      <w:color w:val="000000"/>
      <w:sz w:val="24"/>
      <w:szCs w:val="24"/>
      <w:lang w:val="en-US" w:eastAsia="fr-FR"/>
    </w:rPr>
  </w:style>
  <w:style w:type="character" w:customStyle="1" w:styleId="CRCoverPageChar">
    <w:name w:val="CR Cover Page Char"/>
    <w:link w:val="CRCoverPage"/>
    <w:qFormat/>
    <w:rsid w:val="00A40BD4"/>
    <w:rPr>
      <w:rFonts w:ascii="Arial" w:eastAsiaTheme="minorEastAsia" w:hAnsi="Arial"/>
      <w:lang w:eastAsia="en-US"/>
    </w:rPr>
  </w:style>
  <w:style w:type="character" w:customStyle="1" w:styleId="H6Char">
    <w:name w:val="H6 Char"/>
    <w:link w:val="H6"/>
    <w:qFormat/>
    <w:rsid w:val="00A40BD4"/>
    <w:rPr>
      <w:rFonts w:ascii="Arial" w:eastAsia="Times New Roman" w:hAnsi="Arial"/>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qFormat/>
    <w:rsid w:val="00A40BD4"/>
    <w:rPr>
      <w:rFonts w:ascii="Times New Roman" w:eastAsia="MS Mincho" w:hAnsi="Times New Roman"/>
      <w:lang w:eastAsia="ja-JP"/>
    </w:rPr>
  </w:style>
  <w:style w:type="paragraph" w:customStyle="1" w:styleId="CharCharCharCharChar">
    <w:name w:val="Char Char Char Char Char"/>
    <w:uiPriority w:val="99"/>
    <w:semiHidden/>
    <w:qFormat/>
    <w:rsid w:val="00A40BD4"/>
    <w:pPr>
      <w:keepNext/>
      <w:numPr>
        <w:numId w:val="11"/>
      </w:numPr>
      <w:tabs>
        <w:tab w:val="clear" w:pos="851"/>
      </w:tabs>
      <w:autoSpaceDE w:val="0"/>
      <w:autoSpaceDN w:val="0"/>
      <w:adjustRightInd w:val="0"/>
      <w:spacing w:before="60" w:after="60"/>
      <w:ind w:left="720" w:hanging="360"/>
      <w:jc w:val="both"/>
    </w:pPr>
    <w:rPr>
      <w:rFonts w:ascii="Arial" w:hAnsi="Arial" w:cs="Arial"/>
      <w:color w:val="0000FF"/>
      <w:kern w:val="2"/>
      <w:lang w:val="en-US" w:eastAsia="zh-CN"/>
    </w:rPr>
  </w:style>
  <w:style w:type="character" w:customStyle="1" w:styleId="Char">
    <w:name w:val="样式 页眉 Char"/>
    <w:link w:val="a2"/>
    <w:qFormat/>
    <w:rsid w:val="00A40BD4"/>
    <w:rPr>
      <w:rFonts w:ascii="Arial" w:eastAsia="Arial" w:hAnsi="Arial"/>
      <w:b/>
      <w:bCs/>
      <w:sz w:val="22"/>
      <w:lang w:eastAsia="en-US"/>
    </w:rPr>
  </w:style>
  <w:style w:type="paragraph" w:customStyle="1" w:styleId="Char2">
    <w:name w:val="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aliases w:val="标题 1 Char1,1 Char,h19 Char"/>
    <w:qFormat/>
    <w:rsid w:val="00A40BD4"/>
    <w:rPr>
      <w:lang w:val="en-GB" w:eastAsia="ja-JP" w:bidi="ar-SA"/>
    </w:rPr>
  </w:style>
  <w:style w:type="paragraph" w:customStyle="1" w:styleId="1Char">
    <w:name w:val="(文字) (文字)1 Char (文字) (文字)"/>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A40BD4"/>
    <w:rPr>
      <w:rFonts w:eastAsia="MS Mincho"/>
      <w:lang w:val="en-GB" w:eastAsia="en-US" w:bidi="ar-SA"/>
    </w:rPr>
  </w:style>
  <w:style w:type="paragraph" w:customStyle="1" w:styleId="1CharChar">
    <w:name w:val="(文字) (文字)1 Char (文字) (文字)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A40BD4"/>
    <w:rPr>
      <w:lang w:val="en-GB" w:eastAsia="ja-JP" w:bidi="ar-SA"/>
    </w:rPr>
  </w:style>
  <w:style w:type="character" w:customStyle="1" w:styleId="capChar2">
    <w:name w:val="cap Char2"/>
    <w:qFormat/>
    <w:rsid w:val="00A40BD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A40BD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40BD4"/>
    <w:rPr>
      <w:rFonts w:ascii="Arial" w:hAnsi="Arial"/>
      <w:sz w:val="32"/>
      <w:lang w:val="en-GB" w:eastAsia="ja-JP" w:bidi="ar-SA"/>
    </w:rPr>
  </w:style>
  <w:style w:type="character" w:customStyle="1" w:styleId="CharChar4">
    <w:name w:val="Char Char4"/>
    <w:qFormat/>
    <w:rsid w:val="00A40BD4"/>
    <w:rPr>
      <w:rFonts w:ascii="Courier New" w:hAnsi="Courier New"/>
      <w:lang w:val="nb-NO" w:eastAsia="ja-JP" w:bidi="ar-SA"/>
    </w:rPr>
  </w:style>
  <w:style w:type="character" w:customStyle="1" w:styleId="AndreaLeonardi">
    <w:name w:val="Andrea Leonardi"/>
    <w:semiHidden/>
    <w:qFormat/>
    <w:rsid w:val="00A40BD4"/>
    <w:rPr>
      <w:rFonts w:ascii="Arial" w:hAnsi="Arial" w:cs="Arial"/>
      <w:color w:val="auto"/>
      <w:sz w:val="20"/>
      <w:szCs w:val="20"/>
    </w:rPr>
  </w:style>
  <w:style w:type="character" w:customStyle="1" w:styleId="B1Char1">
    <w:name w:val="B1 Char1"/>
    <w:qFormat/>
    <w:rsid w:val="00A40BD4"/>
    <w:rPr>
      <w:lang w:val="en-GB"/>
    </w:rPr>
  </w:style>
  <w:style w:type="character" w:customStyle="1" w:styleId="msoins0">
    <w:name w:val="msoins"/>
    <w:basedOn w:val="DefaultParagraphFont"/>
    <w:qFormat/>
    <w:rsid w:val="00A40BD4"/>
  </w:style>
  <w:style w:type="character" w:customStyle="1" w:styleId="NOCharChar">
    <w:name w:val="NO Char Char"/>
    <w:qFormat/>
    <w:rsid w:val="00A40BD4"/>
    <w:rPr>
      <w:lang w:val="en-GB" w:eastAsia="en-US" w:bidi="ar-SA"/>
    </w:rPr>
  </w:style>
  <w:style w:type="character" w:customStyle="1" w:styleId="NOZchn">
    <w:name w:val="NO Zchn"/>
    <w:qFormat/>
    <w:rsid w:val="00A40BD4"/>
    <w:rPr>
      <w:lang w:val="en-GB" w:eastAsia="en-US" w:bidi="ar-SA"/>
    </w:rPr>
  </w:style>
  <w:style w:type="paragraph" w:customStyle="1" w:styleId="CharCharCharCharCharChar">
    <w:name w:val="Char Char Char Char Char Char"/>
    <w:uiPriority w:val="99"/>
    <w:semiHidden/>
    <w:qFormat/>
    <w:rsid w:val="00A40BD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3">
    <w:name w:val="(文字) (文字)"/>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qFormat/>
    <w:rsid w:val="00A40BD4"/>
  </w:style>
  <w:style w:type="character" w:customStyle="1" w:styleId="T1Char1">
    <w:name w:val="T1 Char1"/>
    <w:aliases w:val="Header 6 Char Char1"/>
    <w:qFormat/>
    <w:rsid w:val="00A40BD4"/>
  </w:style>
  <w:style w:type="character" w:customStyle="1" w:styleId="h5Char">
    <w:name w:val="h5 Char"/>
    <w:qFormat/>
    <w:rsid w:val="00A40BD4"/>
    <w:rPr>
      <w:rFonts w:ascii="Arial" w:eastAsia="MS Mincho" w:hAnsi="Arial"/>
      <w:sz w:val="22"/>
      <w:lang w:val="en-GB" w:eastAsia="en-US" w:bidi="ar-SA"/>
    </w:rPr>
  </w:style>
  <w:style w:type="paragraph" w:customStyle="1" w:styleId="CarCar">
    <w:name w:val="Car C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40BD4"/>
    <w:rPr>
      <w:rFonts w:ascii="Arial" w:hAnsi="Arial"/>
      <w:sz w:val="32"/>
      <w:lang w:val="en-GB" w:eastAsia="en-US" w:bidi="ar-SA"/>
    </w:rPr>
  </w:style>
  <w:style w:type="character" w:customStyle="1" w:styleId="TACCar">
    <w:name w:val="TAC Car"/>
    <w:qFormat/>
    <w:rsid w:val="00A40BD4"/>
    <w:rPr>
      <w:rFonts w:ascii="Arial" w:hAnsi="Arial"/>
      <w:sz w:val="18"/>
      <w:lang w:val="en-GB" w:eastAsia="ja-JP" w:bidi="ar-SA"/>
    </w:rPr>
  </w:style>
  <w:style w:type="paragraph" w:customStyle="1" w:styleId="ZchnZchn1">
    <w:name w:val="Zchn Zchn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AL0">
    <w:name w:val="TAL (文字)"/>
    <w:qFormat/>
    <w:rsid w:val="00A40BD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40BD4"/>
    <w:rPr>
      <w:rFonts w:ascii="Arial" w:hAnsi="Arial"/>
      <w:sz w:val="32"/>
      <w:lang w:val="en-GB" w:eastAsia="en-US" w:bidi="ar-SA"/>
    </w:rPr>
  </w:style>
  <w:style w:type="paragraph" w:customStyle="1" w:styleId="2">
    <w:name w:val="(文字) (文字)2"/>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40BD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40BD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A40BD4"/>
    <w:rPr>
      <w:rFonts w:ascii="Arial" w:eastAsia="MS Mincho" w:hAnsi="Arial"/>
      <w:sz w:val="22"/>
      <w:lang w:val="en-GB" w:eastAsia="en-US" w:bidi="ar-SA"/>
    </w:rPr>
  </w:style>
  <w:style w:type="paragraph" w:customStyle="1" w:styleId="3">
    <w:name w:val="(文字) (文字)3"/>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A40BD4"/>
  </w:style>
  <w:style w:type="paragraph" w:customStyle="1" w:styleId="12">
    <w:name w:val="(文字) (文字)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A40BD4"/>
    <w:rPr>
      <w:rFonts w:ascii="Arial" w:hAnsi="Arial"/>
      <w:sz w:val="36"/>
      <w:lang w:val="en-GB" w:eastAsia="en-US" w:bidi="ar-SA"/>
    </w:rPr>
  </w:style>
  <w:style w:type="character" w:customStyle="1" w:styleId="CharChar7">
    <w:name w:val="Char Char7"/>
    <w:semiHidden/>
    <w:qFormat/>
    <w:rsid w:val="00A40BD4"/>
    <w:rPr>
      <w:rFonts w:ascii="Tahoma" w:hAnsi="Tahoma" w:cs="Tahoma"/>
      <w:shd w:val="clear" w:color="auto" w:fill="000080"/>
      <w:lang w:val="en-GB" w:eastAsia="en-US"/>
    </w:rPr>
  </w:style>
  <w:style w:type="character" w:customStyle="1" w:styleId="ZchnZchn5">
    <w:name w:val="Zchn Zchn5"/>
    <w:qFormat/>
    <w:rsid w:val="00A40BD4"/>
    <w:rPr>
      <w:rFonts w:ascii="Courier New" w:eastAsia="Batang" w:hAnsi="Courier New"/>
      <w:lang w:val="nb-NO" w:eastAsia="en-US" w:bidi="ar-SA"/>
    </w:rPr>
  </w:style>
  <w:style w:type="character" w:customStyle="1" w:styleId="CharChar10">
    <w:name w:val="Char Char10"/>
    <w:semiHidden/>
    <w:qFormat/>
    <w:rsid w:val="00A40BD4"/>
    <w:rPr>
      <w:rFonts w:ascii="Times New Roman" w:hAnsi="Times New Roman"/>
      <w:lang w:val="en-GB" w:eastAsia="en-US"/>
    </w:rPr>
  </w:style>
  <w:style w:type="character" w:customStyle="1" w:styleId="CharChar9">
    <w:name w:val="Char Char9"/>
    <w:semiHidden/>
    <w:qFormat/>
    <w:rsid w:val="00A40BD4"/>
    <w:rPr>
      <w:rFonts w:ascii="Tahoma" w:hAnsi="Tahoma" w:cs="Tahoma"/>
      <w:sz w:val="16"/>
      <w:szCs w:val="16"/>
      <w:lang w:val="en-GB" w:eastAsia="en-US"/>
    </w:rPr>
  </w:style>
  <w:style w:type="character" w:customStyle="1" w:styleId="CharChar8">
    <w:name w:val="Char Char8"/>
    <w:semiHidden/>
    <w:qFormat/>
    <w:rsid w:val="00A40BD4"/>
    <w:rPr>
      <w:rFonts w:ascii="Times New Roman" w:hAnsi="Times New Roman"/>
      <w:b/>
      <w:bCs/>
      <w:lang w:val="en-GB" w:eastAsia="en-US"/>
    </w:rPr>
  </w:style>
  <w:style w:type="paragraph" w:customStyle="1" w:styleId="1111">
    <w:name w:val="修订1111"/>
    <w:hidden/>
    <w:uiPriority w:val="99"/>
    <w:semiHidden/>
    <w:qFormat/>
    <w:rsid w:val="00A40BD4"/>
    <w:rPr>
      <w:rFonts w:ascii="Times New Roman" w:eastAsia="Batang" w:hAnsi="Times New Roman"/>
      <w:lang w:eastAsia="en-US"/>
    </w:rPr>
  </w:style>
  <w:style w:type="character" w:customStyle="1" w:styleId="btChar3">
    <w:name w:val="bt Char3"/>
    <w:aliases w:val="bt Car Char Char3"/>
    <w:qFormat/>
    <w:rsid w:val="00A40BD4"/>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A40BD4"/>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40BD4"/>
    <w:rPr>
      <w:rFonts w:ascii="Arial" w:hAnsi="Arial"/>
      <w:sz w:val="24"/>
      <w:lang w:val="en-GB"/>
    </w:rPr>
  </w:style>
  <w:style w:type="paragraph" w:customStyle="1" w:styleId="AutoCorrect">
    <w:name w:val="AutoCorrect"/>
    <w:uiPriority w:val="99"/>
    <w:qFormat/>
    <w:rsid w:val="00A40BD4"/>
    <w:rPr>
      <w:rFonts w:ascii="Times New Roman" w:eastAsia="MS Mincho" w:hAnsi="Times New Roman"/>
      <w:sz w:val="24"/>
      <w:szCs w:val="24"/>
      <w:lang w:eastAsia="ko-KR"/>
    </w:rPr>
  </w:style>
  <w:style w:type="paragraph" w:customStyle="1" w:styleId="-PAGE-">
    <w:name w:val="- PAGE -"/>
    <w:uiPriority w:val="99"/>
    <w:qFormat/>
    <w:rsid w:val="00A40BD4"/>
    <w:rPr>
      <w:rFonts w:ascii="Times New Roman" w:eastAsia="MS Mincho" w:hAnsi="Times New Roman"/>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A40BD4"/>
    <w:rPr>
      <w:rFonts w:ascii="Arial" w:eastAsia="Batang" w:hAnsi="Arial" w:cs="Times New Roman"/>
      <w:b/>
      <w:bCs/>
      <w:i/>
      <w:iCs/>
      <w:sz w:val="28"/>
      <w:szCs w:val="28"/>
      <w:lang w:val="en-GB" w:eastAsia="en-US" w:bidi="ar-SA"/>
    </w:rPr>
  </w:style>
  <w:style w:type="paragraph" w:customStyle="1" w:styleId="Createdby">
    <w:name w:val="Created by"/>
    <w:uiPriority w:val="99"/>
    <w:qFormat/>
    <w:rsid w:val="00A40BD4"/>
    <w:rPr>
      <w:rFonts w:ascii="Times New Roman" w:eastAsia="MS Mincho" w:hAnsi="Times New Roman"/>
      <w:sz w:val="24"/>
      <w:szCs w:val="24"/>
      <w:lang w:eastAsia="ko-KR"/>
    </w:rPr>
  </w:style>
  <w:style w:type="paragraph" w:customStyle="1" w:styleId="Createdon">
    <w:name w:val="Created on"/>
    <w:uiPriority w:val="99"/>
    <w:qFormat/>
    <w:rsid w:val="00A40BD4"/>
    <w:rPr>
      <w:rFonts w:ascii="Times New Roman" w:eastAsia="MS Mincho" w:hAnsi="Times New Roman"/>
      <w:sz w:val="24"/>
      <w:szCs w:val="24"/>
      <w:lang w:eastAsia="ko-KR"/>
    </w:rPr>
  </w:style>
  <w:style w:type="paragraph" w:customStyle="1" w:styleId="Lastprinted">
    <w:name w:val="Last printed"/>
    <w:uiPriority w:val="99"/>
    <w:qFormat/>
    <w:rsid w:val="00A40BD4"/>
    <w:rPr>
      <w:rFonts w:ascii="Times New Roman" w:eastAsia="MS Mincho" w:hAnsi="Times New Roman"/>
      <w:sz w:val="24"/>
      <w:szCs w:val="24"/>
      <w:lang w:eastAsia="ko-KR"/>
    </w:rPr>
  </w:style>
  <w:style w:type="paragraph" w:customStyle="1" w:styleId="Lastsavedby">
    <w:name w:val="Last saved by"/>
    <w:uiPriority w:val="99"/>
    <w:qFormat/>
    <w:rsid w:val="00A40BD4"/>
    <w:rPr>
      <w:rFonts w:ascii="Times New Roman" w:eastAsia="MS Mincho" w:hAnsi="Times New Roman"/>
      <w:sz w:val="24"/>
      <w:szCs w:val="24"/>
      <w:lang w:eastAsia="ko-KR"/>
    </w:rPr>
  </w:style>
  <w:style w:type="paragraph" w:customStyle="1" w:styleId="Filename">
    <w:name w:val="Filename"/>
    <w:uiPriority w:val="99"/>
    <w:qFormat/>
    <w:rsid w:val="00A40BD4"/>
    <w:rPr>
      <w:rFonts w:ascii="Times New Roman" w:eastAsia="MS Mincho" w:hAnsi="Times New Roman"/>
      <w:sz w:val="24"/>
      <w:szCs w:val="24"/>
      <w:lang w:eastAsia="ko-KR"/>
    </w:rPr>
  </w:style>
  <w:style w:type="paragraph" w:customStyle="1" w:styleId="Filenameandpath">
    <w:name w:val="Filename and path"/>
    <w:uiPriority w:val="99"/>
    <w:qFormat/>
    <w:rsid w:val="00A40BD4"/>
    <w:rPr>
      <w:rFonts w:ascii="Times New Roman" w:eastAsia="MS Mincho" w:hAnsi="Times New Roman"/>
      <w:sz w:val="24"/>
      <w:szCs w:val="24"/>
      <w:lang w:eastAsia="ko-KR"/>
    </w:rPr>
  </w:style>
  <w:style w:type="paragraph" w:customStyle="1" w:styleId="AuthorPageDate">
    <w:name w:val="Author  Page #  Date"/>
    <w:uiPriority w:val="99"/>
    <w:qFormat/>
    <w:rsid w:val="00A40BD4"/>
    <w:rPr>
      <w:rFonts w:ascii="Times New Roman" w:eastAsia="MS Mincho" w:hAnsi="Times New Roman"/>
      <w:sz w:val="24"/>
      <w:szCs w:val="24"/>
      <w:lang w:eastAsia="ko-KR"/>
    </w:rPr>
  </w:style>
  <w:style w:type="paragraph" w:customStyle="1" w:styleId="ConfidentialPageDate">
    <w:name w:val="Confidential  Page #  Date"/>
    <w:uiPriority w:val="99"/>
    <w:qFormat/>
    <w:rsid w:val="00A40BD4"/>
    <w:rPr>
      <w:rFonts w:ascii="Times New Roman" w:eastAsia="MS Mincho" w:hAnsi="Times New Roman"/>
      <w:sz w:val="24"/>
      <w:szCs w:val="24"/>
      <w:lang w:eastAsia="ko-KR"/>
    </w:rPr>
  </w:style>
  <w:style w:type="paragraph" w:customStyle="1" w:styleId="INDENT1">
    <w:name w:val="INDENT1"/>
    <w:basedOn w:val="Normal"/>
    <w:qFormat/>
    <w:rsid w:val="00A40BD4"/>
    <w:pPr>
      <w:ind w:left="851"/>
    </w:pPr>
    <w:rPr>
      <w:rFonts w:eastAsia="MS Mincho"/>
      <w:lang w:eastAsia="ja-JP"/>
    </w:rPr>
  </w:style>
  <w:style w:type="paragraph" w:customStyle="1" w:styleId="INDENT2">
    <w:name w:val="INDENT2"/>
    <w:basedOn w:val="Normal"/>
    <w:qFormat/>
    <w:rsid w:val="00A40BD4"/>
    <w:pPr>
      <w:ind w:left="1135" w:hanging="284"/>
    </w:pPr>
    <w:rPr>
      <w:rFonts w:eastAsia="MS Mincho"/>
      <w:lang w:eastAsia="ja-JP"/>
    </w:rPr>
  </w:style>
  <w:style w:type="paragraph" w:customStyle="1" w:styleId="INDENT3">
    <w:name w:val="INDENT3"/>
    <w:basedOn w:val="Normal"/>
    <w:qFormat/>
    <w:rsid w:val="00A40BD4"/>
    <w:pPr>
      <w:ind w:left="1701" w:hanging="567"/>
    </w:pPr>
    <w:rPr>
      <w:rFonts w:eastAsia="MS Mincho"/>
      <w:lang w:eastAsia="ja-JP"/>
    </w:rPr>
  </w:style>
  <w:style w:type="paragraph" w:customStyle="1" w:styleId="FigureTitle">
    <w:name w:val="Figure_Title"/>
    <w:basedOn w:val="Normal"/>
    <w:next w:val="Normal"/>
    <w:qFormat/>
    <w:rsid w:val="00A40BD4"/>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enumlev2">
    <w:name w:val="enumlev2"/>
    <w:basedOn w:val="Normal"/>
    <w:qFormat/>
    <w:rsid w:val="00A40BD4"/>
    <w:pPr>
      <w:tabs>
        <w:tab w:val="left" w:pos="794"/>
        <w:tab w:val="left" w:pos="1191"/>
        <w:tab w:val="left" w:pos="1588"/>
        <w:tab w:val="left" w:pos="1985"/>
      </w:tabs>
      <w:spacing w:before="86"/>
      <w:ind w:left="1588" w:hanging="397"/>
      <w:jc w:val="both"/>
    </w:pPr>
    <w:rPr>
      <w:rFonts w:eastAsia="MS Mincho"/>
      <w:lang w:val="en-US" w:eastAsia="ja-JP"/>
    </w:rPr>
  </w:style>
  <w:style w:type="paragraph" w:customStyle="1" w:styleId="CouvRecTitle">
    <w:name w:val="Couv Rec Title"/>
    <w:basedOn w:val="Normal"/>
    <w:qFormat/>
    <w:rsid w:val="00A40BD4"/>
    <w:pPr>
      <w:keepNext/>
      <w:keepLines/>
      <w:spacing w:before="240"/>
      <w:ind w:left="1418"/>
    </w:pPr>
    <w:rPr>
      <w:rFonts w:ascii="Arial" w:eastAsia="MS Mincho" w:hAnsi="Arial"/>
      <w:b/>
      <w:sz w:val="36"/>
      <w:lang w:val="en-US" w:eastAsia="ja-JP"/>
    </w:rPr>
  </w:style>
  <w:style w:type="paragraph" w:customStyle="1" w:styleId="Figure">
    <w:name w:val="Figure"/>
    <w:basedOn w:val="Normal"/>
    <w:uiPriority w:val="99"/>
    <w:qFormat/>
    <w:rsid w:val="00A40BD4"/>
    <w:pPr>
      <w:tabs>
        <w:tab w:val="left"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0">
    <w:name w:val="Table Grid1"/>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A40BD4"/>
    <w:pPr>
      <w:tabs>
        <w:tab w:val="left" w:pos="1418"/>
      </w:tabs>
      <w:spacing w:after="120"/>
    </w:pPr>
    <w:rPr>
      <w:rFonts w:ascii="Arial" w:eastAsia="MS Mincho" w:hAnsi="Arial"/>
      <w:sz w:val="24"/>
      <w:lang w:val="fr-FR" w:eastAsia="en-US"/>
    </w:rPr>
  </w:style>
  <w:style w:type="paragraph" w:customStyle="1" w:styleId="PageXofY">
    <w:name w:val="Page X of Y"/>
    <w:uiPriority w:val="99"/>
    <w:qFormat/>
    <w:rsid w:val="00A40BD4"/>
    <w:rPr>
      <w:rFonts w:ascii="Times New Roman" w:hAnsi="Times New Roman"/>
      <w:sz w:val="24"/>
      <w:szCs w:val="24"/>
      <w:lang w:eastAsia="ko-KR"/>
    </w:rPr>
  </w:style>
  <w:style w:type="paragraph" w:customStyle="1" w:styleId="ATC">
    <w:name w:val="ATC"/>
    <w:basedOn w:val="Normal"/>
    <w:uiPriority w:val="99"/>
    <w:qFormat/>
    <w:rsid w:val="00A40BD4"/>
    <w:rPr>
      <w:rFonts w:eastAsia="MS Mincho"/>
      <w:lang w:eastAsia="ja-JP"/>
    </w:rPr>
  </w:style>
  <w:style w:type="paragraph" w:customStyle="1" w:styleId="RecCCITT">
    <w:name w:val="Rec_CCITT_#"/>
    <w:basedOn w:val="Normal"/>
    <w:qFormat/>
    <w:rsid w:val="00A40BD4"/>
    <w:pPr>
      <w:keepNext/>
      <w:keepLines/>
    </w:pPr>
    <w:rPr>
      <w:rFonts w:eastAsia="SimSun"/>
      <w:b/>
      <w:lang w:eastAsia="ja-JP"/>
    </w:rPr>
  </w:style>
  <w:style w:type="paragraph" w:customStyle="1" w:styleId="1CharChar1Char">
    <w:name w:val="(文字) (文字)1 Char (文字) (文字) Char (文字) (文字)1 Char (文字) (文字)"/>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MTDisplayEquation">
    <w:name w:val="MTDisplayEquation"/>
    <w:basedOn w:val="Normal"/>
    <w:uiPriority w:val="99"/>
    <w:qFormat/>
    <w:rsid w:val="00A40BD4"/>
    <w:pPr>
      <w:tabs>
        <w:tab w:val="center" w:pos="4820"/>
        <w:tab w:val="right" w:pos="9640"/>
      </w:tabs>
      <w:overflowPunct/>
      <w:autoSpaceDE/>
      <w:autoSpaceDN/>
      <w:adjustRightInd/>
      <w:textAlignment w:val="auto"/>
    </w:pPr>
    <w:rPr>
      <w:rFonts w:eastAsia="SimSun"/>
      <w:lang w:eastAsia="ja-JP"/>
    </w:rPr>
  </w:style>
  <w:style w:type="paragraph" w:customStyle="1" w:styleId="Separation">
    <w:name w:val="Separation"/>
    <w:basedOn w:val="Heading1"/>
    <w:next w:val="Normal"/>
    <w:uiPriority w:val="99"/>
    <w:qFormat/>
    <w:rsid w:val="00A40BD4"/>
    <w:pPr>
      <w:pBdr>
        <w:top w:val="none" w:sz="0" w:space="0" w:color="auto"/>
      </w:pBdr>
      <w:overflowPunct/>
      <w:autoSpaceDE/>
      <w:autoSpaceDN/>
      <w:adjustRightInd/>
      <w:textAlignment w:val="auto"/>
    </w:pPr>
    <w:rPr>
      <w:rFonts w:eastAsia="MS Mincho"/>
      <w:b/>
      <w:color w:val="0000FF"/>
      <w:szCs w:val="36"/>
      <w:lang w:eastAsia="ja-JP"/>
    </w:rPr>
  </w:style>
  <w:style w:type="paragraph" w:customStyle="1" w:styleId="TaOC">
    <w:name w:val="TaOC"/>
    <w:basedOn w:val="TAC"/>
    <w:uiPriority w:val="99"/>
    <w:qFormat/>
    <w:rsid w:val="00A40BD4"/>
    <w:rPr>
      <w:rFonts w:eastAsia="SimSun"/>
      <w:szCs w:val="18"/>
      <w:lang w:eastAsia="ja-JP"/>
    </w:rPr>
  </w:style>
  <w:style w:type="character" w:customStyle="1" w:styleId="T1Char3">
    <w:name w:val="T1 Char3"/>
    <w:aliases w:val="Header 6 Char Char3"/>
    <w:qFormat/>
    <w:rsid w:val="00A40BD4"/>
    <w:rPr>
      <w:rFonts w:ascii="Arial" w:hAnsi="Arial"/>
      <w:lang w:val="en-GB" w:eastAsia="en-US" w:bidi="ar-SA"/>
    </w:rPr>
  </w:style>
  <w:style w:type="table" w:customStyle="1" w:styleId="Tabellengitternetz1">
    <w:name w:val="Tabellengitternetz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A40BD4"/>
    <w:pPr>
      <w:tabs>
        <w:tab w:val="left"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A40BD4"/>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uiPriority w:val="99"/>
    <w:qFormat/>
    <w:rsid w:val="00A40BD4"/>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uiPriority w:val="99"/>
    <w:qFormat/>
    <w:rsid w:val="00A40BD4"/>
    <w:pPr>
      <w:tabs>
        <w:tab w:val="left" w:pos="928"/>
        <w:tab w:val="left"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A40BD4"/>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3">
    <w:name w:val="吹き出し1"/>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qFormat/>
    <w:locked/>
    <w:rsid w:val="00A40BD4"/>
    <w:rPr>
      <w:rFonts w:ascii="Arial" w:hAnsi="Arial"/>
      <w:b/>
      <w:sz w:val="18"/>
      <w:lang w:val="en-GB" w:eastAsia="en-US" w:bidi="ar-SA"/>
    </w:rPr>
  </w:style>
  <w:style w:type="paragraph" w:customStyle="1" w:styleId="20">
    <w:name w:val="吹き出し2"/>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uiPriority w:val="99"/>
    <w:qFormat/>
    <w:rsid w:val="00A40BD4"/>
    <w:rPr>
      <w:rFonts w:eastAsia="MS Mincho"/>
    </w:rPr>
  </w:style>
  <w:style w:type="paragraph" w:customStyle="1" w:styleId="tabletext0">
    <w:name w:val="table text"/>
    <w:basedOn w:val="Normal"/>
    <w:next w:val="Normal"/>
    <w:uiPriority w:val="99"/>
    <w:qFormat/>
    <w:rsid w:val="00A40BD4"/>
    <w:rPr>
      <w:rFonts w:eastAsia="MS Mincho"/>
      <w:i/>
    </w:rPr>
  </w:style>
  <w:style w:type="paragraph" w:customStyle="1" w:styleId="TOC91">
    <w:name w:val="TOC 91"/>
    <w:basedOn w:val="TOC8"/>
    <w:uiPriority w:val="99"/>
    <w:qFormat/>
    <w:rsid w:val="00A40BD4"/>
    <w:pPr>
      <w:ind w:left="1418" w:hanging="1418"/>
    </w:pPr>
    <w:rPr>
      <w:rFonts w:eastAsia="MS Mincho"/>
      <w:bCs/>
      <w:noProof w:val="0"/>
      <w:szCs w:val="22"/>
      <w:lang w:val="en-US"/>
    </w:rPr>
  </w:style>
  <w:style w:type="paragraph" w:customStyle="1" w:styleId="Caption1">
    <w:name w:val="Caption1"/>
    <w:basedOn w:val="Normal"/>
    <w:next w:val="Normal"/>
    <w:uiPriority w:val="99"/>
    <w:qFormat/>
    <w:rsid w:val="00A40BD4"/>
    <w:pPr>
      <w:spacing w:before="120" w:after="120"/>
    </w:pPr>
    <w:rPr>
      <w:rFonts w:eastAsia="MS Mincho"/>
      <w:b/>
    </w:rPr>
  </w:style>
  <w:style w:type="paragraph" w:customStyle="1" w:styleId="HE">
    <w:name w:val="HE"/>
    <w:basedOn w:val="Normal"/>
    <w:uiPriority w:val="99"/>
    <w:qFormat/>
    <w:rsid w:val="00A40BD4"/>
    <w:pPr>
      <w:spacing w:after="0"/>
    </w:pPr>
    <w:rPr>
      <w:rFonts w:eastAsia="MS Mincho"/>
      <w:b/>
    </w:rPr>
  </w:style>
  <w:style w:type="paragraph" w:customStyle="1" w:styleId="HO">
    <w:name w:val="HO"/>
    <w:basedOn w:val="Normal"/>
    <w:uiPriority w:val="99"/>
    <w:qFormat/>
    <w:rsid w:val="00A40BD4"/>
    <w:pPr>
      <w:spacing w:after="0"/>
      <w:jc w:val="right"/>
    </w:pPr>
    <w:rPr>
      <w:rFonts w:eastAsia="MS Mincho"/>
      <w:b/>
    </w:rPr>
  </w:style>
  <w:style w:type="paragraph" w:customStyle="1" w:styleId="WP">
    <w:name w:val="WP"/>
    <w:basedOn w:val="Normal"/>
    <w:uiPriority w:val="99"/>
    <w:qFormat/>
    <w:rsid w:val="00A40BD4"/>
    <w:pPr>
      <w:spacing w:after="0"/>
      <w:jc w:val="both"/>
    </w:pPr>
    <w:rPr>
      <w:rFonts w:eastAsia="MS Mincho"/>
    </w:rPr>
  </w:style>
  <w:style w:type="paragraph" w:customStyle="1" w:styleId="ZK">
    <w:name w:val="ZK"/>
    <w:uiPriority w:val="99"/>
    <w:qFormat/>
    <w:rsid w:val="00A40BD4"/>
    <w:pPr>
      <w:spacing w:after="240" w:line="240" w:lineRule="atLeast"/>
      <w:ind w:left="1191" w:right="113" w:hanging="1191"/>
    </w:pPr>
    <w:rPr>
      <w:rFonts w:ascii="Times New Roman" w:eastAsia="MS Mincho" w:hAnsi="Times New Roman"/>
      <w:lang w:eastAsia="en-US"/>
    </w:rPr>
  </w:style>
  <w:style w:type="paragraph" w:customStyle="1" w:styleId="ZC">
    <w:name w:val="ZC"/>
    <w:uiPriority w:val="99"/>
    <w:qFormat/>
    <w:rsid w:val="00A40BD4"/>
    <w:pPr>
      <w:spacing w:line="360" w:lineRule="atLeast"/>
      <w:jc w:val="center"/>
    </w:pPr>
    <w:rPr>
      <w:rFonts w:ascii="Times New Roman" w:eastAsia="MS Mincho" w:hAnsi="Times New Roman"/>
      <w:lang w:eastAsia="en-US"/>
    </w:rPr>
  </w:style>
  <w:style w:type="paragraph" w:customStyle="1" w:styleId="FooterCentred">
    <w:name w:val="FooterCentred"/>
    <w:basedOn w:val="Footer"/>
    <w:uiPriority w:val="99"/>
    <w:qFormat/>
    <w:rsid w:val="00A40BD4"/>
    <w:pPr>
      <w:tabs>
        <w:tab w:val="center" w:pos="4678"/>
        <w:tab w:val="right" w:pos="9356"/>
      </w:tabs>
      <w:spacing w:after="180"/>
      <w:jc w:val="both"/>
    </w:pPr>
    <w:rPr>
      <w:rFonts w:ascii="Times New Roman" w:eastAsia="MS Mincho" w:hAnsi="Times New Roman"/>
      <w:b w:val="0"/>
      <w:bCs/>
      <w:i w:val="0"/>
      <w:iCs/>
      <w:noProof w:val="0"/>
      <w:sz w:val="20"/>
      <w:szCs w:val="18"/>
    </w:rPr>
  </w:style>
  <w:style w:type="paragraph" w:customStyle="1" w:styleId="CRfront">
    <w:name w:val="CR_front"/>
    <w:basedOn w:val="Normal"/>
    <w:uiPriority w:val="99"/>
    <w:qFormat/>
    <w:rsid w:val="00A40BD4"/>
    <w:rPr>
      <w:rFonts w:eastAsia="MS Mincho"/>
    </w:rPr>
  </w:style>
  <w:style w:type="paragraph" w:customStyle="1" w:styleId="NumberedList">
    <w:name w:val="Numbered List"/>
    <w:basedOn w:val="Normal"/>
    <w:uiPriority w:val="99"/>
    <w:qFormat/>
    <w:rsid w:val="00A40BD4"/>
    <w:pPr>
      <w:tabs>
        <w:tab w:val="left" w:pos="360"/>
      </w:tabs>
      <w:spacing w:before="120" w:after="120"/>
      <w:ind w:left="360" w:hanging="360"/>
    </w:pPr>
    <w:rPr>
      <w:rFonts w:eastAsia="MS Mincho"/>
      <w:lang w:val="en-US"/>
    </w:rPr>
  </w:style>
  <w:style w:type="paragraph" w:customStyle="1" w:styleId="xl40">
    <w:name w:val="xl40"/>
    <w:basedOn w:val="Normal"/>
    <w:uiPriority w:val="99"/>
    <w:qFormat/>
    <w:rsid w:val="00A40BD4"/>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uiPriority w:val="99"/>
    <w:qFormat/>
    <w:rsid w:val="00A40BD4"/>
    <w:pPr>
      <w:keepNext/>
      <w:keepLines/>
      <w:spacing w:after="60"/>
      <w:ind w:left="210"/>
      <w:jc w:val="center"/>
    </w:pPr>
    <w:rPr>
      <w:b/>
      <w:i w:val="0"/>
      <w:lang w:eastAsia="en-GB"/>
    </w:rPr>
  </w:style>
  <w:style w:type="paragraph" w:customStyle="1" w:styleId="TableofFigures1">
    <w:name w:val="Table of Figures1"/>
    <w:basedOn w:val="Normal"/>
    <w:next w:val="Normal"/>
    <w:uiPriority w:val="99"/>
    <w:qFormat/>
    <w:rsid w:val="00A40BD4"/>
    <w:pPr>
      <w:ind w:left="400" w:hanging="400"/>
      <w:jc w:val="center"/>
    </w:pPr>
    <w:rPr>
      <w:rFonts w:eastAsia="MS Mincho"/>
      <w:b/>
    </w:rPr>
  </w:style>
  <w:style w:type="paragraph" w:customStyle="1" w:styleId="table">
    <w:name w:val="table"/>
    <w:basedOn w:val="Normal"/>
    <w:next w:val="Normal"/>
    <w:uiPriority w:val="99"/>
    <w:qFormat/>
    <w:rsid w:val="00A40BD4"/>
    <w:pPr>
      <w:spacing w:after="0"/>
      <w:jc w:val="center"/>
    </w:pPr>
    <w:rPr>
      <w:rFonts w:eastAsia="MS Mincho"/>
      <w:lang w:val="en-US"/>
    </w:rPr>
  </w:style>
  <w:style w:type="paragraph" w:customStyle="1" w:styleId="t2">
    <w:name w:val="t2"/>
    <w:basedOn w:val="Normal"/>
    <w:uiPriority w:val="99"/>
    <w:qFormat/>
    <w:rsid w:val="00A40BD4"/>
    <w:pPr>
      <w:spacing w:after="0"/>
    </w:pPr>
    <w:rPr>
      <w:rFonts w:eastAsia="MS Mincho"/>
    </w:rPr>
  </w:style>
  <w:style w:type="paragraph" w:customStyle="1" w:styleId="CommentNokia">
    <w:name w:val="Comment Nokia"/>
    <w:basedOn w:val="Normal"/>
    <w:uiPriority w:val="99"/>
    <w:qFormat/>
    <w:rsid w:val="00A40BD4"/>
    <w:pPr>
      <w:tabs>
        <w:tab w:val="left" w:pos="360"/>
      </w:tabs>
      <w:ind w:left="360" w:hanging="360"/>
    </w:pPr>
    <w:rPr>
      <w:rFonts w:eastAsia="MS Mincho"/>
      <w:sz w:val="22"/>
      <w:lang w:val="en-US"/>
    </w:rPr>
  </w:style>
  <w:style w:type="paragraph" w:customStyle="1" w:styleId="Copyright">
    <w:name w:val="Copyright"/>
    <w:basedOn w:val="Normal"/>
    <w:uiPriority w:val="99"/>
    <w:qFormat/>
    <w:rsid w:val="00A40BD4"/>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40BD4"/>
    <w:rPr>
      <w:rFonts w:ascii="Arial" w:hAnsi="Arial"/>
      <w:sz w:val="28"/>
      <w:lang w:val="en-GB" w:eastAsia="en-US" w:bidi="ar-SA"/>
    </w:rPr>
  </w:style>
  <w:style w:type="paragraph" w:customStyle="1" w:styleId="Heading3Underrubrik2H3">
    <w:name w:val="Heading 3.Underrubrik2.H3"/>
    <w:basedOn w:val="Heading2Head2A2"/>
    <w:next w:val="Normal"/>
    <w:uiPriority w:val="99"/>
    <w:qFormat/>
    <w:rsid w:val="00A40BD4"/>
    <w:pPr>
      <w:spacing w:before="120"/>
      <w:outlineLvl w:val="2"/>
    </w:pPr>
    <w:rPr>
      <w:sz w:val="28"/>
    </w:rPr>
  </w:style>
  <w:style w:type="paragraph" w:customStyle="1" w:styleId="Heading2Head2A2">
    <w:name w:val="Heading 2.Head2A.2"/>
    <w:basedOn w:val="Heading1"/>
    <w:next w:val="Normal"/>
    <w:uiPriority w:val="99"/>
    <w:qFormat/>
    <w:rsid w:val="00A40BD4"/>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uiPriority w:val="99"/>
    <w:qFormat/>
    <w:rsid w:val="00A40BD4"/>
    <w:pPr>
      <w:spacing w:after="220"/>
    </w:pPr>
    <w:rPr>
      <w:rFonts w:eastAsia="MS Mincho"/>
      <w:b/>
      <w:lang w:val="en-US"/>
    </w:rPr>
  </w:style>
  <w:style w:type="paragraph" w:customStyle="1" w:styleId="Para1">
    <w:name w:val="Para1"/>
    <w:basedOn w:val="Normal"/>
    <w:uiPriority w:val="99"/>
    <w:qFormat/>
    <w:rsid w:val="00A40BD4"/>
    <w:pPr>
      <w:spacing w:before="120" w:after="120"/>
    </w:pPr>
    <w:rPr>
      <w:rFonts w:eastAsia="MS Mincho"/>
      <w:lang w:val="en-US"/>
    </w:rPr>
  </w:style>
  <w:style w:type="paragraph" w:customStyle="1" w:styleId="Teststep">
    <w:name w:val="Test step"/>
    <w:basedOn w:val="Normal"/>
    <w:uiPriority w:val="99"/>
    <w:qFormat/>
    <w:rsid w:val="00A40BD4"/>
    <w:pPr>
      <w:tabs>
        <w:tab w:val="left" w:pos="720"/>
      </w:tabs>
      <w:spacing w:after="0"/>
      <w:ind w:left="720" w:hanging="720"/>
    </w:pPr>
    <w:rPr>
      <w:rFonts w:eastAsia="MS Mincho"/>
    </w:rPr>
  </w:style>
  <w:style w:type="paragraph" w:customStyle="1" w:styleId="Tdoctable">
    <w:name w:val="Tdoc_table"/>
    <w:uiPriority w:val="99"/>
    <w:qFormat/>
    <w:rsid w:val="00A40BD4"/>
    <w:pPr>
      <w:ind w:left="244" w:hanging="244"/>
    </w:pPr>
    <w:rPr>
      <w:rFonts w:ascii="Arial" w:hAnsi="Arial"/>
      <w:color w:val="000000"/>
      <w:lang w:eastAsia="en-US"/>
    </w:rPr>
  </w:style>
  <w:style w:type="paragraph" w:customStyle="1" w:styleId="Bullets">
    <w:name w:val="Bullets"/>
    <w:basedOn w:val="BodyText"/>
    <w:uiPriority w:val="99"/>
    <w:qFormat/>
    <w:rsid w:val="00A40BD4"/>
    <w:pPr>
      <w:widowControl w:val="0"/>
      <w:spacing w:after="120"/>
      <w:ind w:left="283" w:hanging="283"/>
    </w:pPr>
    <w:rPr>
      <w:lang w:eastAsia="de-DE"/>
    </w:rPr>
  </w:style>
  <w:style w:type="paragraph" w:customStyle="1" w:styleId="11BodyText">
    <w:name w:val="11 BodyText"/>
    <w:aliases w:val="Block_Text,np,b"/>
    <w:basedOn w:val="Normal"/>
    <w:link w:val="11BodyTextChar"/>
    <w:uiPriority w:val="99"/>
    <w:qFormat/>
    <w:rsid w:val="00A40BD4"/>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uiPriority w:val="99"/>
    <w:qFormat/>
    <w:rsid w:val="00A40BD4"/>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1">
    <w:name w:val="网格型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qFormat/>
    <w:rsid w:val="00A40BD4"/>
    <w:pPr>
      <w:overflowPunct/>
      <w:autoSpaceDE/>
      <w:autoSpaceDN/>
      <w:adjustRightInd/>
      <w:textAlignment w:val="auto"/>
    </w:pPr>
    <w:rPr>
      <w:rFonts w:eastAsia="MS Mincho"/>
      <w:kern w:val="2"/>
      <w:lang w:eastAsia="en-US"/>
    </w:rPr>
  </w:style>
  <w:style w:type="character" w:customStyle="1" w:styleId="StyleTACChar">
    <w:name w:val="Style TAC + Char"/>
    <w:link w:val="StyleTAC"/>
    <w:qFormat/>
    <w:rsid w:val="00A40BD4"/>
    <w:rPr>
      <w:rFonts w:ascii="Arial" w:eastAsia="MS Mincho" w:hAnsi="Arial"/>
      <w:kern w:val="2"/>
      <w:sz w:val="18"/>
      <w:lang w:eastAsia="en-US"/>
    </w:rPr>
  </w:style>
  <w:style w:type="character" w:customStyle="1" w:styleId="CharChar29">
    <w:name w:val="Char Char29"/>
    <w:qFormat/>
    <w:rsid w:val="00A40BD4"/>
    <w:rPr>
      <w:rFonts w:ascii="Arial" w:hAnsi="Arial"/>
      <w:sz w:val="36"/>
      <w:lang w:val="en-GB" w:eastAsia="en-US" w:bidi="ar-SA"/>
    </w:rPr>
  </w:style>
  <w:style w:type="character" w:customStyle="1" w:styleId="CharChar28">
    <w:name w:val="Char Char28"/>
    <w:qFormat/>
    <w:rsid w:val="00A40BD4"/>
    <w:rPr>
      <w:rFonts w:ascii="Arial" w:hAnsi="Arial"/>
      <w:sz w:val="32"/>
      <w:lang w:val="en-GB"/>
    </w:rPr>
  </w:style>
  <w:style w:type="paragraph" w:customStyle="1" w:styleId="berschrift3h3H3Underrubrik2">
    <w:name w:val="Überschrift 3.h3.H3.Underrubrik2"/>
    <w:basedOn w:val="Heading2"/>
    <w:next w:val="Normal"/>
    <w:uiPriority w:val="99"/>
    <w:qFormat/>
    <w:rsid w:val="00A40BD4"/>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40BD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A40BD4"/>
    <w:rPr>
      <w:rFonts w:ascii="Arial" w:hAnsi="Arial"/>
      <w:sz w:val="22"/>
      <w:lang w:val="en-GB" w:eastAsia="en-GB" w:bidi="ar-SA"/>
    </w:rPr>
  </w:style>
  <w:style w:type="paragraph" w:customStyle="1" w:styleId="5">
    <w:name w:val="吹き出し5"/>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qFormat/>
    <w:rsid w:val="00A40BD4"/>
    <w:rPr>
      <w:rFonts w:ascii="Times New Roman" w:hAnsi="Times New Roman"/>
      <w:lang w:val="en-GB"/>
    </w:rPr>
  </w:style>
  <w:style w:type="paragraph" w:customStyle="1" w:styleId="Reference">
    <w:name w:val="Reference"/>
    <w:basedOn w:val="Normal"/>
    <w:uiPriority w:val="99"/>
    <w:qFormat/>
    <w:rsid w:val="00A40BD4"/>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A40BD4"/>
    <w:rPr>
      <w:rFonts w:ascii="Times New Roman" w:eastAsia="Times New Roman" w:hAnsi="Times New Roman"/>
      <w:lang w:val="en-GB" w:eastAsia="ja-JP"/>
    </w:rPr>
  </w:style>
  <w:style w:type="paragraph" w:customStyle="1" w:styleId="CharCharCharCharChar2">
    <w:name w:val="Char Char Char Char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A40BD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6">
    <w:name w:val="(文字) (文字)6"/>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2">
    <w:name w:val="Car C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
    <w:name w:val="(文字) (文字)2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
    <w:name w:val="(文字) (文字)3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2">
    <w:name w:val="(文字) (文字)4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0">
    <w:name w:val="(文字) (文字)1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A40BD4"/>
    <w:rPr>
      <w:lang w:val="en-GB" w:eastAsia="ja-JP" w:bidi="ar-SA"/>
    </w:rPr>
  </w:style>
  <w:style w:type="character" w:customStyle="1" w:styleId="CharChar42">
    <w:name w:val="Char Char42"/>
    <w:qFormat/>
    <w:rsid w:val="00A40BD4"/>
    <w:rPr>
      <w:rFonts w:ascii="Courier New" w:hAnsi="Courier New" w:cs="Courier New" w:hint="default"/>
      <w:lang w:val="nb-NO" w:eastAsia="ja-JP" w:bidi="ar-SA"/>
    </w:rPr>
  </w:style>
  <w:style w:type="character" w:customStyle="1" w:styleId="CharChar72">
    <w:name w:val="Char Char72"/>
    <w:semiHidden/>
    <w:qFormat/>
    <w:rsid w:val="00A40BD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uiPriority w:val="99"/>
    <w:qFormat/>
    <w:rsid w:val="00A40BD4"/>
    <w:pPr>
      <w:keepNext/>
      <w:tabs>
        <w:tab w:val="left"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qFormat/>
    <w:rsid w:val="00A40BD4"/>
    <w:rPr>
      <w:rFonts w:ascii="Times New Roman" w:hAnsi="Times New Roman" w:cs="Times New Roman" w:hint="default"/>
      <w:lang w:val="en-GB" w:eastAsia="en-US"/>
    </w:rPr>
  </w:style>
  <w:style w:type="character" w:customStyle="1" w:styleId="CharChar92">
    <w:name w:val="Char Char92"/>
    <w:semiHidden/>
    <w:qFormat/>
    <w:rsid w:val="00A40BD4"/>
    <w:rPr>
      <w:rFonts w:ascii="Tahoma" w:hAnsi="Tahoma" w:cs="Tahoma" w:hint="default"/>
      <w:sz w:val="16"/>
      <w:szCs w:val="16"/>
      <w:lang w:val="en-GB" w:eastAsia="en-US"/>
    </w:rPr>
  </w:style>
  <w:style w:type="character" w:customStyle="1" w:styleId="CharChar82">
    <w:name w:val="Char Char82"/>
    <w:semiHidden/>
    <w:qFormat/>
    <w:rsid w:val="00A40BD4"/>
    <w:rPr>
      <w:rFonts w:ascii="Times New Roman" w:hAnsi="Times New Roman" w:cs="Times New Roman" w:hint="default"/>
      <w:b/>
      <w:bCs/>
      <w:lang w:val="en-GB" w:eastAsia="en-US"/>
    </w:rPr>
  </w:style>
  <w:style w:type="character" w:customStyle="1" w:styleId="CharChar292">
    <w:name w:val="Char Char292"/>
    <w:qFormat/>
    <w:rsid w:val="00A40BD4"/>
    <w:rPr>
      <w:rFonts w:ascii="Arial" w:hAnsi="Arial" w:cs="Arial" w:hint="default"/>
      <w:sz w:val="36"/>
      <w:lang w:val="en-GB" w:eastAsia="en-US" w:bidi="ar-SA"/>
    </w:rPr>
  </w:style>
  <w:style w:type="character" w:customStyle="1" w:styleId="CharChar282">
    <w:name w:val="Char Char282"/>
    <w:qFormat/>
    <w:rsid w:val="00A40BD4"/>
    <w:rPr>
      <w:rFonts w:ascii="Arial" w:hAnsi="Arial" w:cs="Arial" w:hint="default"/>
      <w:sz w:val="32"/>
      <w:lang w:val="en-GB"/>
    </w:rPr>
  </w:style>
  <w:style w:type="character" w:customStyle="1" w:styleId="GuidanceChar">
    <w:name w:val="Guidance Char"/>
    <w:link w:val="Guidance"/>
    <w:qFormat/>
    <w:rsid w:val="00A40BD4"/>
    <w:rPr>
      <w:rFonts w:ascii="Times New Roman" w:eastAsia="Times New Roman" w:hAnsi="Times New Roman"/>
      <w:i/>
      <w:color w:val="0000FF"/>
      <w:lang w:eastAsia="en-US"/>
    </w:rPr>
  </w:style>
  <w:style w:type="character" w:customStyle="1" w:styleId="msoins00">
    <w:name w:val="msoins0"/>
    <w:qFormat/>
    <w:rsid w:val="00A40BD4"/>
  </w:style>
  <w:style w:type="character" w:customStyle="1" w:styleId="B3Char">
    <w:name w:val="B3 Char"/>
    <w:link w:val="B30"/>
    <w:qFormat/>
    <w:rsid w:val="00A40BD4"/>
    <w:rPr>
      <w:rFonts w:ascii="Times New Roman" w:eastAsia="Times New Roman" w:hAnsi="Times New Roman"/>
    </w:rPr>
  </w:style>
  <w:style w:type="paragraph" w:customStyle="1" w:styleId="CharChar24">
    <w:name w:val="Char Char24"/>
    <w:basedOn w:val="Normal"/>
    <w:uiPriority w:val="99"/>
    <w:semiHidden/>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uiPriority w:val="99"/>
    <w:semiHidden/>
    <w:qFormat/>
    <w:rsid w:val="00A40BD4"/>
    <w:pPr>
      <w:tabs>
        <w:tab w:val="left" w:pos="45"/>
      </w:tabs>
      <w:ind w:left="405" w:hanging="405"/>
    </w:pPr>
    <w:rPr>
      <w:rFonts w:eastAsia="Arial"/>
      <w:lang w:eastAsia="en-US"/>
    </w:rPr>
  </w:style>
  <w:style w:type="paragraph" w:customStyle="1" w:styleId="MotorolaResponse1">
    <w:name w:val="Motorola Response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文字) (文字)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qFormat/>
    <w:rsid w:val="00A40BD4"/>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sid w:val="00A40BD4"/>
    <w:rPr>
      <w:rFonts w:ascii="Times New Roman" w:eastAsia="Batang" w:hAnsi="Times New Roman"/>
      <w:sz w:val="24"/>
      <w:lang w:val="fr-FR" w:eastAsia="en-US"/>
    </w:rPr>
  </w:style>
  <w:style w:type="paragraph" w:customStyle="1" w:styleId="FBCharCharCharChar1">
    <w:name w:val="FB Char Char Char Char1"/>
    <w:next w:val="Normal"/>
    <w:uiPriority w:val="99"/>
    <w:semiHidden/>
    <w:qFormat/>
    <w:rsid w:val="00A40BD4"/>
    <w:pPr>
      <w:keepNext/>
      <w:tabs>
        <w:tab w:val="left"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A40BD4"/>
    <w:pPr>
      <w:keepNext/>
      <w:tabs>
        <w:tab w:val="left"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A40BD4"/>
    <w:pPr>
      <w:keepNext/>
      <w:tabs>
        <w:tab w:val="left"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Heading40">
    <w:name w:val="Heading4"/>
    <w:basedOn w:val="Heading3"/>
    <w:link w:val="Heading4Char0"/>
    <w:semiHidden/>
    <w:qFormat/>
    <w:rsid w:val="00A40BD4"/>
    <w:pPr>
      <w:keepNext w:val="0"/>
      <w:keepLines w:val="0"/>
      <w:tabs>
        <w:tab w:val="left"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qFormat/>
    <w:rsid w:val="00A40BD4"/>
    <w:rPr>
      <w:rFonts w:ascii="Arial" w:eastAsia="Arial" w:hAnsi="Arial"/>
      <w:sz w:val="28"/>
      <w:lang w:eastAsia="en-US"/>
    </w:rPr>
  </w:style>
  <w:style w:type="paragraph" w:customStyle="1" w:styleId="a">
    <w:name w:val="表格题注"/>
    <w:next w:val="Normal"/>
    <w:uiPriority w:val="99"/>
    <w:qFormat/>
    <w:rsid w:val="00A40BD4"/>
    <w:pPr>
      <w:numPr>
        <w:numId w:val="12"/>
      </w:numPr>
      <w:spacing w:beforeLines="50" w:afterLines="50"/>
      <w:jc w:val="center"/>
    </w:pPr>
    <w:rPr>
      <w:rFonts w:ascii="Times New Roman" w:eastAsia="Yu Mincho" w:hAnsi="Times New Roman"/>
      <w:b/>
      <w:lang w:eastAsia="zh-CN"/>
    </w:rPr>
  </w:style>
  <w:style w:type="paragraph" w:customStyle="1" w:styleId="a0">
    <w:name w:val="插图题注"/>
    <w:next w:val="Normal"/>
    <w:uiPriority w:val="99"/>
    <w:qFormat/>
    <w:rsid w:val="00A40BD4"/>
    <w:pPr>
      <w:numPr>
        <w:numId w:val="13"/>
      </w:numPr>
      <w:jc w:val="center"/>
    </w:pPr>
    <w:rPr>
      <w:rFonts w:ascii="Times New Roman" w:eastAsia="Yu Mincho" w:hAnsi="Times New Roman"/>
      <w:b/>
      <w:lang w:eastAsia="zh-CN"/>
    </w:rPr>
  </w:style>
  <w:style w:type="character" w:customStyle="1" w:styleId="textbodybold1">
    <w:name w:val="textbodybold1"/>
    <w:qFormat/>
    <w:rsid w:val="00A40BD4"/>
    <w:rPr>
      <w:rFonts w:ascii="Arial" w:hAnsi="Arial" w:cs="Arial" w:hint="default"/>
      <w:b/>
      <w:bCs/>
      <w:color w:val="902630"/>
      <w:sz w:val="18"/>
      <w:szCs w:val="18"/>
    </w:rPr>
  </w:style>
  <w:style w:type="paragraph" w:customStyle="1" w:styleId="CharCharCharChar">
    <w:name w:val="Char Char Char Char"/>
    <w:basedOn w:val="Normal"/>
    <w:uiPriority w:val="99"/>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A40BD4"/>
    <w:rPr>
      <w:color w:val="FF0000"/>
      <w:lang w:eastAsia="en-US"/>
    </w:rPr>
  </w:style>
  <w:style w:type="character" w:customStyle="1" w:styleId="ZchnZchn52">
    <w:name w:val="Zchn Zchn52"/>
    <w:qFormat/>
    <w:rsid w:val="00A40BD4"/>
    <w:rPr>
      <w:rFonts w:ascii="Courier New" w:eastAsia="Batang" w:hAnsi="Courier New"/>
      <w:lang w:val="nb-NO" w:eastAsia="en-US" w:bidi="ar-SA"/>
    </w:rPr>
  </w:style>
  <w:style w:type="character" w:customStyle="1" w:styleId="ListChar">
    <w:name w:val="List Char"/>
    <w:link w:val="List"/>
    <w:qFormat/>
    <w:rsid w:val="00A40BD4"/>
    <w:rPr>
      <w:rFonts w:ascii="Times New Roman" w:eastAsia="Times New Roman" w:hAnsi="Times New Roman"/>
    </w:rPr>
  </w:style>
  <w:style w:type="character" w:customStyle="1" w:styleId="List2Char">
    <w:name w:val="List 2 Char"/>
    <w:link w:val="List2"/>
    <w:qFormat/>
    <w:rsid w:val="00A40BD4"/>
    <w:rPr>
      <w:rFonts w:ascii="Times New Roman" w:eastAsia="Times New Roman" w:hAnsi="Times New Roman"/>
    </w:rPr>
  </w:style>
  <w:style w:type="character" w:customStyle="1" w:styleId="ListBullet3Char">
    <w:name w:val="List Bullet 3 Char"/>
    <w:link w:val="ListBullet3"/>
    <w:qFormat/>
    <w:rsid w:val="00A40BD4"/>
    <w:rPr>
      <w:rFonts w:ascii="Times New Roman" w:eastAsia="Times New Roman" w:hAnsi="Times New Roman"/>
    </w:rPr>
  </w:style>
  <w:style w:type="character" w:customStyle="1" w:styleId="ListBullet2Char">
    <w:name w:val="List Bullet 2 Char"/>
    <w:link w:val="ListBullet2"/>
    <w:qFormat/>
    <w:rsid w:val="00A40BD4"/>
    <w:rPr>
      <w:rFonts w:ascii="Times New Roman" w:eastAsia="Times New Roman" w:hAnsi="Times New Roman"/>
    </w:rPr>
  </w:style>
  <w:style w:type="character" w:customStyle="1" w:styleId="ListBulletChar">
    <w:name w:val="List Bullet Char"/>
    <w:link w:val="ListBullet"/>
    <w:qFormat/>
    <w:rsid w:val="00A40BD4"/>
    <w:rPr>
      <w:rFonts w:ascii="Times New Roman" w:eastAsia="Times New Roman" w:hAnsi="Times New Roman"/>
    </w:rPr>
  </w:style>
  <w:style w:type="character" w:customStyle="1" w:styleId="1Char0">
    <w:name w:val="样式1 Char"/>
    <w:link w:val="10"/>
    <w:uiPriority w:val="99"/>
    <w:qFormat/>
    <w:rsid w:val="00A40BD4"/>
    <w:rPr>
      <w:rFonts w:ascii="Arial" w:eastAsiaTheme="minorEastAsia" w:hAnsi="Arial"/>
      <w:sz w:val="18"/>
      <w:lang w:eastAsia="ja-JP"/>
    </w:rPr>
  </w:style>
  <w:style w:type="paragraph" w:customStyle="1" w:styleId="10">
    <w:name w:val="样式1"/>
    <w:basedOn w:val="TAN"/>
    <w:link w:val="1Char0"/>
    <w:uiPriority w:val="99"/>
    <w:qFormat/>
    <w:rsid w:val="00A40BD4"/>
    <w:pPr>
      <w:numPr>
        <w:numId w:val="14"/>
      </w:numPr>
    </w:pPr>
    <w:rPr>
      <w:rFonts w:eastAsiaTheme="minorEastAsia"/>
      <w:lang w:eastAsia="ja-JP"/>
    </w:rPr>
  </w:style>
  <w:style w:type="character" w:customStyle="1" w:styleId="superscript">
    <w:name w:val="superscript"/>
    <w:qFormat/>
    <w:rsid w:val="00A40BD4"/>
    <w:rPr>
      <w:rFonts w:ascii="Bookman" w:hAnsi="Bookman"/>
      <w:position w:val="6"/>
      <w:sz w:val="18"/>
    </w:rPr>
  </w:style>
  <w:style w:type="character" w:customStyle="1" w:styleId="NOChar1">
    <w:name w:val="NO Char1"/>
    <w:qFormat/>
    <w:rsid w:val="00A40BD4"/>
    <w:rPr>
      <w:rFonts w:eastAsia="MS Mincho"/>
      <w:lang w:val="en-GB" w:eastAsia="en-US" w:bidi="ar-SA"/>
    </w:rPr>
  </w:style>
  <w:style w:type="paragraph" w:customStyle="1" w:styleId="textintend1">
    <w:name w:val="text intend 1"/>
    <w:basedOn w:val="text"/>
    <w:uiPriority w:val="99"/>
    <w:qFormat/>
    <w:rsid w:val="00A40BD4"/>
    <w:pPr>
      <w:widowControl/>
      <w:tabs>
        <w:tab w:val="left" w:pos="992"/>
      </w:tabs>
      <w:spacing w:after="120"/>
      <w:ind w:left="992" w:hanging="425"/>
    </w:pPr>
    <w:rPr>
      <w:rFonts w:eastAsia="MS Mincho"/>
      <w:lang w:val="en-US"/>
    </w:rPr>
  </w:style>
  <w:style w:type="paragraph" w:customStyle="1" w:styleId="text">
    <w:name w:val="text"/>
    <w:basedOn w:val="Normal"/>
    <w:uiPriority w:val="99"/>
    <w:qFormat/>
    <w:rsid w:val="00A40BD4"/>
    <w:pPr>
      <w:widowControl w:val="0"/>
      <w:overflowPunct/>
      <w:autoSpaceDE/>
      <w:autoSpaceDN/>
      <w:adjustRightInd/>
      <w:spacing w:after="240"/>
      <w:jc w:val="both"/>
      <w:textAlignment w:val="auto"/>
    </w:pPr>
    <w:rPr>
      <w:rFonts w:eastAsia="SimSun"/>
      <w:sz w:val="24"/>
      <w:lang w:val="en-AU" w:eastAsia="en-US"/>
    </w:rPr>
  </w:style>
  <w:style w:type="paragraph" w:customStyle="1" w:styleId="TabList">
    <w:name w:val="TabList"/>
    <w:basedOn w:val="Normal"/>
    <w:uiPriority w:val="99"/>
    <w:qFormat/>
    <w:rsid w:val="00A40BD4"/>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sid w:val="00A40BD4"/>
    <w:rPr>
      <w:lang w:val="en-GB"/>
    </w:rPr>
  </w:style>
  <w:style w:type="character" w:customStyle="1" w:styleId="EndnoteTextChar1">
    <w:name w:val="Endnote Text Char1"/>
    <w:qFormat/>
    <w:rsid w:val="00A40BD4"/>
    <w:rPr>
      <w:lang w:val="en-GB"/>
    </w:rPr>
  </w:style>
  <w:style w:type="character" w:customStyle="1" w:styleId="TitleChar1">
    <w:name w:val="Title Char1"/>
    <w:qFormat/>
    <w:rsid w:val="00A40BD4"/>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A40BD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A40BD4"/>
    <w:rPr>
      <w:lang w:val="en-GB"/>
    </w:rPr>
  </w:style>
  <w:style w:type="character" w:customStyle="1" w:styleId="BodyTextIndentChar1">
    <w:name w:val="Body Text Indent Char1"/>
    <w:qFormat/>
    <w:rsid w:val="00A40BD4"/>
    <w:rPr>
      <w:lang w:val="en-GB"/>
    </w:rPr>
  </w:style>
  <w:style w:type="character" w:customStyle="1" w:styleId="BodyText3Char1">
    <w:name w:val="Body Text 3 Char1"/>
    <w:qFormat/>
    <w:rsid w:val="00A40BD4"/>
    <w:rPr>
      <w:sz w:val="16"/>
      <w:szCs w:val="16"/>
      <w:lang w:val="en-GB"/>
    </w:rPr>
  </w:style>
  <w:style w:type="paragraph" w:customStyle="1" w:styleId="berschrift1H1">
    <w:name w:val="Überschrift 1.H1"/>
    <w:basedOn w:val="Normal"/>
    <w:next w:val="Normal"/>
    <w:uiPriority w:val="99"/>
    <w:qFormat/>
    <w:rsid w:val="00A40BD4"/>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uiPriority w:val="99"/>
    <w:qFormat/>
    <w:rsid w:val="00A40BD4"/>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A40BD4"/>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A40BD4"/>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uiPriority w:val="99"/>
    <w:qFormat/>
    <w:rsid w:val="00A40BD4"/>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uiPriority w:val="99"/>
    <w:qFormat/>
    <w:rsid w:val="00A40BD4"/>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uiPriority w:val="99"/>
    <w:qFormat/>
    <w:rsid w:val="00A40BD4"/>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qFormat/>
    <w:rsid w:val="00A40BD4"/>
    <w:pPr>
      <w:numPr>
        <w:numId w:val="15"/>
      </w:numPr>
      <w:tabs>
        <w:tab w:val="clear" w:pos="360"/>
        <w:tab w:val="left"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A40BD4"/>
    <w:pPr>
      <w:ind w:left="720"/>
      <w:contextualSpacing/>
    </w:pPr>
    <w:rPr>
      <w:rFonts w:eastAsia="SimSun"/>
      <w:lang w:eastAsia="en-US"/>
    </w:rPr>
  </w:style>
  <w:style w:type="paragraph" w:customStyle="1" w:styleId="LightList-Accent31">
    <w:name w:val="Light List - Accent 31"/>
    <w:uiPriority w:val="99"/>
    <w:semiHidden/>
    <w:qFormat/>
    <w:rsid w:val="00A40BD4"/>
    <w:rPr>
      <w:rFonts w:ascii="Times New Roman" w:eastAsia="Batang" w:hAnsi="Times New Roman"/>
      <w:lang w:eastAsia="en-US"/>
    </w:rPr>
  </w:style>
  <w:style w:type="paragraph" w:customStyle="1" w:styleId="TOC911">
    <w:name w:val="TOC 911"/>
    <w:basedOn w:val="TOC8"/>
    <w:qFormat/>
    <w:rsid w:val="00A40BD4"/>
    <w:pPr>
      <w:ind w:left="1418" w:hanging="1418"/>
    </w:pPr>
    <w:rPr>
      <w:rFonts w:eastAsia="MS Mincho"/>
      <w:noProof w:val="0"/>
    </w:rPr>
  </w:style>
  <w:style w:type="paragraph" w:customStyle="1" w:styleId="Caption11">
    <w:name w:val="Caption11"/>
    <w:basedOn w:val="Normal"/>
    <w:next w:val="Normal"/>
    <w:qFormat/>
    <w:rsid w:val="00A40BD4"/>
    <w:pPr>
      <w:spacing w:before="120" w:after="120"/>
    </w:pPr>
    <w:rPr>
      <w:rFonts w:eastAsia="MS Mincho"/>
      <w:b/>
    </w:rPr>
  </w:style>
  <w:style w:type="paragraph" w:customStyle="1" w:styleId="TableofFigures11">
    <w:name w:val="Table of Figures11"/>
    <w:basedOn w:val="Normal"/>
    <w:next w:val="Normal"/>
    <w:qFormat/>
    <w:rsid w:val="00A40BD4"/>
    <w:pPr>
      <w:ind w:left="400" w:hanging="400"/>
      <w:jc w:val="center"/>
    </w:pPr>
    <w:rPr>
      <w:rFonts w:eastAsia="MS Mincho"/>
      <w:b/>
    </w:rPr>
  </w:style>
  <w:style w:type="paragraph" w:customStyle="1" w:styleId="81">
    <w:name w:val="表 (赤)  81"/>
    <w:basedOn w:val="Normal"/>
    <w:uiPriority w:val="34"/>
    <w:qFormat/>
    <w:rsid w:val="00A40BD4"/>
    <w:pPr>
      <w:ind w:left="720"/>
      <w:contextualSpacing/>
    </w:pPr>
    <w:rPr>
      <w:rFonts w:eastAsia="SimSun"/>
    </w:rPr>
  </w:style>
  <w:style w:type="paragraph" w:customStyle="1" w:styleId="note0">
    <w:name w:val="note"/>
    <w:basedOn w:val="Normal"/>
    <w:uiPriority w:val="99"/>
    <w:qFormat/>
    <w:rsid w:val="00A40BD4"/>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hidden/>
    <w:uiPriority w:val="71"/>
    <w:qFormat/>
    <w:rsid w:val="00A40BD4"/>
    <w:rPr>
      <w:rFonts w:ascii="Times New Roman" w:hAnsi="Times New Roman"/>
      <w:lang w:eastAsia="en-US"/>
    </w:rPr>
  </w:style>
  <w:style w:type="character" w:styleId="PlaceholderText">
    <w:name w:val="Placeholder Text"/>
    <w:uiPriority w:val="99"/>
    <w:unhideWhenUsed/>
    <w:qFormat/>
    <w:rsid w:val="00A40BD4"/>
    <w:rPr>
      <w:color w:val="808080"/>
    </w:rPr>
  </w:style>
  <w:style w:type="paragraph" w:customStyle="1" w:styleId="LGTdoc">
    <w:name w:val="LGTdoc_본문"/>
    <w:basedOn w:val="Normal"/>
    <w:uiPriority w:val="99"/>
    <w:qFormat/>
    <w:rsid w:val="00A40BD4"/>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A40BD4"/>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A40BD4"/>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A40BD4"/>
    <w:rPr>
      <w:rFonts w:ascii="Arial" w:hAnsi="Arial"/>
      <w:szCs w:val="24"/>
      <w:lang w:eastAsia="en-US"/>
    </w:rPr>
  </w:style>
  <w:style w:type="paragraph" w:customStyle="1" w:styleId="Text1">
    <w:name w:val="Text 1"/>
    <w:basedOn w:val="Normal"/>
    <w:uiPriority w:val="99"/>
    <w:qFormat/>
    <w:rsid w:val="00A40BD4"/>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A40BD4"/>
    <w:pPr>
      <w:keepNext w:val="0"/>
      <w:keepLines w:val="0"/>
      <w:numPr>
        <w:numId w:val="16"/>
      </w:numPr>
      <w:tabs>
        <w:tab w:val="clear" w:pos="1492"/>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qFormat/>
    <w:rsid w:val="00A40BD4"/>
  </w:style>
  <w:style w:type="paragraph" w:customStyle="1" w:styleId="cita">
    <w:name w:val="cita"/>
    <w:basedOn w:val="Normal"/>
    <w:uiPriority w:val="99"/>
    <w:qFormat/>
    <w:rsid w:val="00A40BD4"/>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A40BD4"/>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uiPriority w:val="99"/>
    <w:qFormat/>
    <w:rsid w:val="00A40BD4"/>
    <w:rPr>
      <w:rFonts w:eastAsia="MS Mincho" w:cs="v4.2.0"/>
    </w:rPr>
  </w:style>
  <w:style w:type="paragraph" w:customStyle="1" w:styleId="CharCharCharCharCharCharCharCharCharCharCharCharChar">
    <w:name w:val="Char Char Char Char Char Char Char Char Char Char Char Char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rsid w:val="00A40BD4"/>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A40BD4"/>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A40BD4"/>
    <w:pPr>
      <w:keepLines w:val="0"/>
      <w:pBdr>
        <w:top w:val="none" w:sz="0" w:space="0" w:color="auto"/>
      </w:pBdr>
      <w:ind w:left="0" w:firstLine="0"/>
    </w:pPr>
    <w:rPr>
      <w:rFonts w:eastAsia="SimSun"/>
      <w:b/>
      <w:color w:val="339966"/>
      <w:kern w:val="28"/>
      <w:sz w:val="28"/>
      <w:szCs w:val="28"/>
      <w:lang w:val="en-US" w:eastAsia="zh-CN"/>
    </w:rPr>
  </w:style>
  <w:style w:type="paragraph" w:customStyle="1" w:styleId="xl29">
    <w:name w:val="xl29"/>
    <w:basedOn w:val="Normal"/>
    <w:uiPriority w:val="99"/>
    <w:qFormat/>
    <w:rsid w:val="00A40BD4"/>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A40BD4"/>
    <w:rPr>
      <w:color w:val="000000"/>
    </w:rPr>
  </w:style>
  <w:style w:type="paragraph" w:customStyle="1" w:styleId="Equation">
    <w:name w:val="Equation"/>
    <w:basedOn w:val="Normal"/>
    <w:next w:val="Normal"/>
    <w:link w:val="EquationChar"/>
    <w:qFormat/>
    <w:rsid w:val="00A40BD4"/>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A40BD4"/>
    <w:rPr>
      <w:rFonts w:ascii="Times New Roman" w:hAnsi="Times New Roman"/>
      <w:sz w:val="22"/>
      <w:szCs w:val="22"/>
      <w:lang w:eastAsia="en-US"/>
    </w:rPr>
  </w:style>
  <w:style w:type="character" w:customStyle="1" w:styleId="apple-converted-space">
    <w:name w:val="apple-converted-space"/>
    <w:qFormat/>
    <w:rsid w:val="00A40BD4"/>
  </w:style>
  <w:style w:type="character" w:customStyle="1" w:styleId="shorttext">
    <w:name w:val="short_text"/>
    <w:qFormat/>
    <w:rsid w:val="00A40BD4"/>
  </w:style>
  <w:style w:type="character" w:customStyle="1" w:styleId="14">
    <w:name w:val="不明显参考1"/>
    <w:uiPriority w:val="31"/>
    <w:qFormat/>
    <w:rsid w:val="00A40BD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40BD4"/>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40BD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40BD4"/>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40BD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A40BD4"/>
    <w:rPr>
      <w:rFonts w:ascii="Yu Gothic Light" w:eastAsia="Yu Gothic Light" w:hAnsi="Yu Gothic Light" w:cs="Times New Roman"/>
      <w:lang w:val="en-GB" w:eastAsia="en-US"/>
    </w:rPr>
  </w:style>
  <w:style w:type="paragraph" w:customStyle="1" w:styleId="msonormal0">
    <w:name w:val="msonormal"/>
    <w:basedOn w:val="Normal"/>
    <w:uiPriority w:val="99"/>
    <w:qFormat/>
    <w:rsid w:val="00A40BD4"/>
    <w:pPr>
      <w:spacing w:before="100" w:beforeAutospacing="1" w:after="100" w:afterAutospacing="1"/>
      <w:textAlignment w:val="auto"/>
    </w:pPr>
    <w:rPr>
      <w:rFonts w:eastAsia="Yu Mincho"/>
      <w:sz w:val="24"/>
      <w:szCs w:val="24"/>
      <w:lang w:val="en-US"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40BD4"/>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40BD4"/>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40BD4"/>
    <w:rPr>
      <w:rFonts w:ascii="Times New Roman" w:eastAsia="Yu Mincho" w:hAnsi="Times New Roman"/>
      <w:lang w:val="en-GB" w:eastAsia="en-US"/>
    </w:rPr>
  </w:style>
  <w:style w:type="paragraph" w:customStyle="1" w:styleId="43">
    <w:name w:val="吹き出し4"/>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qFormat/>
    <w:rsid w:val="00A40BD4"/>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qFormat/>
    <w:rsid w:val="00A40BD4"/>
    <w:rPr>
      <w:color w:val="808080"/>
      <w:shd w:val="clear" w:color="auto" w:fill="E6E6E6"/>
    </w:rPr>
  </w:style>
  <w:style w:type="table" w:customStyle="1" w:styleId="TableGrid4">
    <w:name w:val="Table Grid4"/>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UnresolvedMention2">
    <w:name w:val="Unresolved Mention2"/>
    <w:uiPriority w:val="99"/>
    <w:unhideWhenUsed/>
    <w:qFormat/>
    <w:rsid w:val="00A40BD4"/>
    <w:rPr>
      <w:color w:val="808080"/>
      <w:shd w:val="clear" w:color="auto" w:fill="E6E6E6"/>
    </w:rPr>
  </w:style>
  <w:style w:type="paragraph" w:customStyle="1" w:styleId="TOC10">
    <w:name w:val="TOC 标题1"/>
    <w:basedOn w:val="Heading1"/>
    <w:next w:val="Normal"/>
    <w:uiPriority w:val="39"/>
    <w:unhideWhenUsed/>
    <w:qFormat/>
    <w:rsid w:val="00A40BD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
    <w:name w:val="Char Char3"/>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aliases w:val="Heading 1 Char21"/>
    <w:qFormat/>
    <w:rsid w:val="00A40BD4"/>
    <w:rPr>
      <w:lang w:val="en-GB" w:eastAsia="ja-JP" w:bidi="ar-SA"/>
    </w:rPr>
  </w:style>
  <w:style w:type="paragraph" w:customStyle="1" w:styleId="1Char1">
    <w:name w:val="(文字) (文字)1 Char (文字) (文字)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A40BD4"/>
    <w:rPr>
      <w:rFonts w:ascii="Courier New" w:hAnsi="Courier New"/>
      <w:lang w:val="nb-NO" w:eastAsia="ja-JP" w:bidi="ar-SA"/>
    </w:rPr>
  </w:style>
  <w:style w:type="paragraph" w:customStyle="1" w:styleId="CharCharCharCharCharChar1">
    <w:name w:val="Char Char Char Char Char Char1"/>
    <w:semiHidden/>
    <w:qFormat/>
    <w:rsid w:val="00A40BD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0">
    <w:name w:val="(文字) (文字)2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2">
    <w:name w:val="(文字) (文字)3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1">
    <w:name w:val="(文字) (文字)4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1">
    <w:name w:val="(文字) (文字)1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qFormat/>
    <w:rsid w:val="00A40BD4"/>
    <w:rPr>
      <w:rFonts w:ascii="Tahoma" w:hAnsi="Tahoma" w:cs="Tahoma"/>
      <w:shd w:val="clear" w:color="auto" w:fill="000080"/>
      <w:lang w:val="en-GB" w:eastAsia="en-US"/>
    </w:rPr>
  </w:style>
  <w:style w:type="character" w:customStyle="1" w:styleId="ZchnZchn51">
    <w:name w:val="Zchn Zchn51"/>
    <w:qFormat/>
    <w:rsid w:val="00A40BD4"/>
    <w:rPr>
      <w:rFonts w:ascii="Courier New" w:eastAsia="Batang" w:hAnsi="Courier New"/>
      <w:lang w:val="nb-NO" w:eastAsia="en-US" w:bidi="ar-SA"/>
    </w:rPr>
  </w:style>
  <w:style w:type="character" w:customStyle="1" w:styleId="CharChar101">
    <w:name w:val="Char Char101"/>
    <w:semiHidden/>
    <w:qFormat/>
    <w:rsid w:val="00A40BD4"/>
    <w:rPr>
      <w:rFonts w:ascii="Times New Roman" w:hAnsi="Times New Roman"/>
      <w:lang w:val="en-GB" w:eastAsia="en-US"/>
    </w:rPr>
  </w:style>
  <w:style w:type="character" w:customStyle="1" w:styleId="CharChar91">
    <w:name w:val="Char Char91"/>
    <w:semiHidden/>
    <w:qFormat/>
    <w:rsid w:val="00A40BD4"/>
    <w:rPr>
      <w:rFonts w:ascii="Tahoma" w:hAnsi="Tahoma" w:cs="Tahoma"/>
      <w:sz w:val="16"/>
      <w:szCs w:val="16"/>
      <w:lang w:val="en-GB" w:eastAsia="en-US"/>
    </w:rPr>
  </w:style>
  <w:style w:type="character" w:customStyle="1" w:styleId="CharChar81">
    <w:name w:val="Char Char81"/>
    <w:semiHidden/>
    <w:qFormat/>
    <w:rsid w:val="00A40BD4"/>
    <w:rPr>
      <w:rFonts w:ascii="Times New Roman" w:hAnsi="Times New Roman"/>
      <w:b/>
      <w:bCs/>
      <w:lang w:val="en-GB" w:eastAsia="en-US"/>
    </w:rPr>
  </w:style>
  <w:style w:type="paragraph" w:customStyle="1" w:styleId="23">
    <w:name w:val="修订2"/>
    <w:hidden/>
    <w:uiPriority w:val="99"/>
    <w:semiHidden/>
    <w:qFormat/>
    <w:rsid w:val="00A40BD4"/>
    <w:rPr>
      <w:rFonts w:ascii="Times New Roman" w:eastAsia="Batang" w:hAnsi="Times New Roman"/>
      <w:lang w:eastAsia="en-US"/>
    </w:rPr>
  </w:style>
  <w:style w:type="paragraph" w:customStyle="1" w:styleId="1CharChar1Char1">
    <w:name w:val="(文字) (文字)1 Char (文字) (文字) Char (文字) (文字)1 Char (文字) (文字)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2">
    <w:name w:val="TOC 92"/>
    <w:basedOn w:val="TOC8"/>
    <w:uiPriority w:val="99"/>
    <w:qFormat/>
    <w:rsid w:val="00A40BD4"/>
    <w:pPr>
      <w:ind w:left="1418" w:hanging="1418"/>
    </w:pPr>
    <w:rPr>
      <w:rFonts w:eastAsia="MS Mincho"/>
      <w:bCs/>
      <w:noProof w:val="0"/>
      <w:szCs w:val="22"/>
      <w:lang w:val="en-US"/>
    </w:rPr>
  </w:style>
  <w:style w:type="paragraph" w:customStyle="1" w:styleId="Caption2">
    <w:name w:val="Caption2"/>
    <w:basedOn w:val="Normal"/>
    <w:next w:val="Normal"/>
    <w:uiPriority w:val="99"/>
    <w:qFormat/>
    <w:rsid w:val="00A40BD4"/>
    <w:pPr>
      <w:spacing w:before="120" w:after="120"/>
    </w:pPr>
    <w:rPr>
      <w:rFonts w:eastAsia="MS Mincho"/>
      <w:b/>
    </w:rPr>
  </w:style>
  <w:style w:type="paragraph" w:customStyle="1" w:styleId="TableofFigures2">
    <w:name w:val="Table of Figures2"/>
    <w:basedOn w:val="Normal"/>
    <w:next w:val="Normal"/>
    <w:uiPriority w:val="99"/>
    <w:qFormat/>
    <w:rsid w:val="00A40BD4"/>
    <w:pPr>
      <w:ind w:left="400" w:hanging="400"/>
      <w:jc w:val="center"/>
    </w:pPr>
    <w:rPr>
      <w:rFonts w:eastAsia="MS Mincho"/>
      <w:b/>
    </w:rPr>
  </w:style>
  <w:style w:type="character" w:customStyle="1" w:styleId="CharChar291">
    <w:name w:val="Char Char291"/>
    <w:qFormat/>
    <w:rsid w:val="00A40BD4"/>
    <w:rPr>
      <w:rFonts w:ascii="Arial" w:hAnsi="Arial"/>
      <w:sz w:val="36"/>
      <w:lang w:val="en-GB" w:eastAsia="en-US" w:bidi="ar-SA"/>
    </w:rPr>
  </w:style>
  <w:style w:type="character" w:customStyle="1" w:styleId="CharChar281">
    <w:name w:val="Char Char281"/>
    <w:qFormat/>
    <w:rsid w:val="00A40BD4"/>
    <w:rPr>
      <w:rFonts w:ascii="Arial" w:hAnsi="Arial"/>
      <w:sz w:val="32"/>
      <w:lang w:val="en-GB"/>
    </w:rPr>
  </w:style>
  <w:style w:type="paragraph" w:customStyle="1" w:styleId="CharChar241">
    <w:name w:val="Char Char241"/>
    <w:basedOn w:val="Normal"/>
    <w:semiHidden/>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0">
    <w:name w:val="(文字) (文字)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qFormat/>
    <w:rsid w:val="00A40BD4"/>
    <w:rPr>
      <w:rFonts w:ascii="Arial" w:hAnsi="Arial"/>
      <w:sz w:val="32"/>
      <w:lang w:val="en-GB" w:eastAsia="en-US" w:bidi="ar-SA"/>
    </w:rPr>
  </w:style>
  <w:style w:type="table" w:customStyle="1" w:styleId="TableGrid12">
    <w:name w:val="Table Grid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
    <w:name w:val="aria"/>
    <w:basedOn w:val="Normal"/>
    <w:qFormat/>
    <w:rsid w:val="00A40BD4"/>
    <w:pPr>
      <w:keepNext/>
      <w:keepLines/>
      <w:overflowPunct/>
      <w:autoSpaceDE/>
      <w:autoSpaceDN/>
      <w:adjustRightInd/>
      <w:spacing w:after="0"/>
      <w:jc w:val="both"/>
      <w:textAlignment w:val="auto"/>
    </w:pPr>
    <w:rPr>
      <w:rFonts w:ascii="Arial" w:eastAsia="SimSun" w:hAnsi="Arial"/>
      <w:sz w:val="18"/>
      <w:szCs w:val="18"/>
      <w:lang w:eastAsia="en-US"/>
    </w:rPr>
  </w:style>
  <w:style w:type="paragraph" w:styleId="NoSpacing">
    <w:name w:val="No Spacing"/>
    <w:uiPriority w:val="1"/>
    <w:qFormat/>
    <w:rsid w:val="00A40BD4"/>
    <w:pPr>
      <w:overflowPunct w:val="0"/>
      <w:autoSpaceDE w:val="0"/>
      <w:autoSpaceDN w:val="0"/>
      <w:adjustRightInd w:val="0"/>
    </w:pPr>
    <w:rPr>
      <w:rFonts w:ascii="Times New Roman" w:eastAsia="MS Mincho" w:hAnsi="Times New Roman"/>
      <w:lang w:eastAsia="ja-JP"/>
    </w:rPr>
  </w:style>
  <w:style w:type="paragraph" w:customStyle="1" w:styleId="p20">
    <w:name w:val="p20"/>
    <w:basedOn w:val="Normal"/>
    <w:qFormat/>
    <w:rsid w:val="00A40BD4"/>
    <w:pPr>
      <w:overflowPunct/>
      <w:autoSpaceDE/>
      <w:autoSpaceDN/>
      <w:adjustRightInd/>
      <w:snapToGrid w:val="0"/>
      <w:spacing w:after="0"/>
    </w:pPr>
    <w:rPr>
      <w:rFonts w:ascii="Arial" w:eastAsia="SimSun" w:hAnsi="Arial" w:cs="Arial"/>
      <w:sz w:val="18"/>
      <w:szCs w:val="18"/>
      <w:lang w:val="en-US" w:eastAsia="zh-CN"/>
    </w:rPr>
  </w:style>
  <w:style w:type="paragraph" w:customStyle="1" w:styleId="a4">
    <w:name w:val="吹き出し"/>
    <w:basedOn w:val="Normal"/>
    <w:semiHidden/>
    <w:qFormat/>
    <w:rsid w:val="00A40BD4"/>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A40BD4"/>
    <w:rPr>
      <w:rFonts w:ascii="Times New Roman" w:hAnsi="Times New Roman"/>
      <w:lang w:val="en-GB"/>
    </w:rPr>
  </w:style>
  <w:style w:type="paragraph" w:customStyle="1" w:styleId="CharChar5">
    <w:name w:val="Char Char5"/>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0">
    <w:name w:val="Table"/>
    <w:basedOn w:val="Normal"/>
    <w:link w:val="Table1"/>
    <w:qFormat/>
    <w:rsid w:val="00A40BD4"/>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A40BD4"/>
    <w:rPr>
      <w:rFonts w:ascii="Arial" w:hAnsi="Arial" w:cs="Arial"/>
      <w:b/>
      <w:lang w:eastAsia="en-US"/>
    </w:rPr>
  </w:style>
  <w:style w:type="character" w:customStyle="1" w:styleId="PLChar">
    <w:name w:val="PL Char"/>
    <w:link w:val="PL"/>
    <w:qFormat/>
    <w:rsid w:val="00A40BD4"/>
    <w:rPr>
      <w:rFonts w:ascii="Courier New" w:eastAsia="Times New Roman" w:hAnsi="Courier New"/>
      <w:noProof/>
      <w:sz w:val="16"/>
    </w:rPr>
  </w:style>
  <w:style w:type="paragraph" w:customStyle="1" w:styleId="ColorfulList-Accent11">
    <w:name w:val="Colorful List - Accent 11"/>
    <w:basedOn w:val="Normal"/>
    <w:uiPriority w:val="34"/>
    <w:qFormat/>
    <w:rsid w:val="00A40BD4"/>
    <w:pPr>
      <w:ind w:left="720"/>
      <w:contextualSpacing/>
    </w:pPr>
    <w:rPr>
      <w:lang w:eastAsia="en-US"/>
    </w:rPr>
  </w:style>
  <w:style w:type="paragraph" w:customStyle="1" w:styleId="ColorfulShading-Accent11">
    <w:name w:val="Colorful Shading - Accent 11"/>
    <w:hidden/>
    <w:semiHidden/>
    <w:qFormat/>
    <w:rsid w:val="00A40BD4"/>
    <w:rPr>
      <w:rFonts w:ascii="Times New Roman" w:eastAsia="Batang" w:hAnsi="Times New Roman"/>
      <w:lang w:eastAsia="en-US"/>
    </w:rPr>
  </w:style>
  <w:style w:type="paragraph" w:customStyle="1" w:styleId="60">
    <w:name w:val="吹き出し6"/>
    <w:basedOn w:val="Normal"/>
    <w:semiHidden/>
    <w:qFormat/>
    <w:rsid w:val="00A40BD4"/>
    <w:pPr>
      <w:overflowPunct/>
      <w:autoSpaceDE/>
      <w:autoSpaceDN/>
      <w:adjustRightInd/>
      <w:textAlignment w:val="auto"/>
    </w:pPr>
    <w:rPr>
      <w:rFonts w:ascii="Tahoma" w:eastAsia="MS Mincho" w:hAnsi="Tahoma" w:cs="Tahoma"/>
      <w:sz w:val="16"/>
      <w:szCs w:val="16"/>
      <w:lang w:eastAsia="ko-KR"/>
    </w:rPr>
  </w:style>
  <w:style w:type="paragraph" w:customStyle="1" w:styleId="CharChar6">
    <w:name w:val="Char Char6"/>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1110">
    <w:name w:val="不明显参考111"/>
    <w:uiPriority w:val="31"/>
    <w:qFormat/>
    <w:rsid w:val="00A40BD4"/>
    <w:rPr>
      <w:smallCaps/>
      <w:color w:val="5A5A5A"/>
    </w:rPr>
  </w:style>
  <w:style w:type="paragraph" w:customStyle="1" w:styleId="112">
    <w:name w:val="修订11"/>
    <w:hidden/>
    <w:semiHidden/>
    <w:qFormat/>
    <w:rsid w:val="00A40BD4"/>
    <w:rPr>
      <w:rFonts w:ascii="Times New Roman" w:eastAsia="Batang" w:hAnsi="Times New Roman"/>
      <w:lang w:eastAsia="en-US"/>
    </w:rPr>
  </w:style>
  <w:style w:type="paragraph" w:customStyle="1" w:styleId="TOC111">
    <w:name w:val="TOC 标题111"/>
    <w:basedOn w:val="Heading1"/>
    <w:next w:val="Normal"/>
    <w:uiPriority w:val="39"/>
    <w:unhideWhenUsed/>
    <w:qFormat/>
    <w:rsid w:val="00A40BD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B3Char2">
    <w:name w:val="B3 Char2"/>
    <w:qFormat/>
    <w:rsid w:val="00A40BD4"/>
    <w:rPr>
      <w:rFonts w:ascii="Times New Roman" w:hAnsi="Times New Roman"/>
      <w:lang w:val="en-GB"/>
    </w:rPr>
  </w:style>
  <w:style w:type="character" w:customStyle="1" w:styleId="EXCar">
    <w:name w:val="EX Car"/>
    <w:qFormat/>
    <w:rsid w:val="00A40BD4"/>
    <w:rPr>
      <w:lang w:val="en-GB" w:eastAsia="en-US"/>
    </w:rPr>
  </w:style>
  <w:style w:type="character" w:customStyle="1" w:styleId="B4Char">
    <w:name w:val="B4 Char"/>
    <w:link w:val="B4"/>
    <w:qFormat/>
    <w:rsid w:val="00A40BD4"/>
    <w:rPr>
      <w:rFonts w:ascii="Times New Roman" w:eastAsia="Times New Roman" w:hAnsi="Times New Roman"/>
    </w:rPr>
  </w:style>
  <w:style w:type="character" w:customStyle="1" w:styleId="19">
    <w:name w:val="明显强调1"/>
    <w:uiPriority w:val="21"/>
    <w:qFormat/>
    <w:rsid w:val="00A40BD4"/>
    <w:rPr>
      <w:b/>
      <w:bCs/>
      <w:i/>
      <w:iCs/>
      <w:color w:val="4F81BD"/>
    </w:rPr>
  </w:style>
  <w:style w:type="paragraph" w:customStyle="1" w:styleId="B6">
    <w:name w:val="B6"/>
    <w:basedOn w:val="B5"/>
    <w:link w:val="B6Char"/>
    <w:qFormat/>
    <w:rsid w:val="00A40BD4"/>
    <w:rPr>
      <w:lang w:eastAsia="zh-CN"/>
    </w:rPr>
  </w:style>
  <w:style w:type="paragraph" w:customStyle="1" w:styleId="Meetingcaption">
    <w:name w:val="Meeting caption"/>
    <w:basedOn w:val="Normal"/>
    <w:qFormat/>
    <w:rsid w:val="00A40BD4"/>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40BD4"/>
    <w:rPr>
      <w:rFonts w:ascii="Arial" w:hAnsi="Arial" w:cs="Arial"/>
      <w:b/>
      <w:lang w:eastAsia="ko-KR"/>
    </w:rPr>
  </w:style>
  <w:style w:type="paragraph" w:customStyle="1" w:styleId="Tadc">
    <w:name w:val="Tadc"/>
    <w:basedOn w:val="Normal"/>
    <w:qFormat/>
    <w:rsid w:val="00A40BD4"/>
    <w:rPr>
      <w:rFonts w:cs="v4.2.0"/>
    </w:rPr>
  </w:style>
  <w:style w:type="character" w:customStyle="1" w:styleId="EditorsNoteCarCar">
    <w:name w:val="Editor's Note Car Car"/>
    <w:link w:val="EditorsNote"/>
    <w:qFormat/>
    <w:rsid w:val="00A40BD4"/>
    <w:rPr>
      <w:rFonts w:ascii="Times New Roman" w:eastAsia="Times New Roman" w:hAnsi="Times New Roman"/>
      <w:color w:val="FF0000"/>
    </w:rPr>
  </w:style>
  <w:style w:type="character" w:customStyle="1" w:styleId="B5Char">
    <w:name w:val="B5 Char"/>
    <w:link w:val="B5"/>
    <w:qFormat/>
    <w:rsid w:val="00A40BD4"/>
    <w:rPr>
      <w:rFonts w:ascii="Times New Roman" w:eastAsia="Times New Roman" w:hAnsi="Times New Roman"/>
    </w:rPr>
  </w:style>
  <w:style w:type="character" w:customStyle="1" w:styleId="HeadingChar">
    <w:name w:val="Heading Char"/>
    <w:qFormat/>
    <w:rsid w:val="00A40BD4"/>
    <w:rPr>
      <w:rFonts w:ascii="Arial" w:eastAsia="SimSun" w:hAnsi="Arial"/>
      <w:b/>
      <w:sz w:val="22"/>
    </w:rPr>
  </w:style>
  <w:style w:type="character" w:customStyle="1" w:styleId="B6Char">
    <w:name w:val="B6 Char"/>
    <w:link w:val="B6"/>
    <w:qFormat/>
    <w:rsid w:val="00A40BD4"/>
    <w:rPr>
      <w:rFonts w:ascii="Times New Roman" w:eastAsia="Times New Roman" w:hAnsi="Times New Roman"/>
      <w:lang w:eastAsia="zh-CN"/>
    </w:rPr>
  </w:style>
  <w:style w:type="table" w:customStyle="1" w:styleId="TableStyle1">
    <w:name w:val="Table Style1"/>
    <w:basedOn w:val="TableNormal"/>
    <w:qFormat/>
    <w:rsid w:val="00A40BD4"/>
    <w:rPr>
      <w:rFonts w:ascii="Times New Roman" w:eastAsia="MS Mincho" w:hAnsi="Times New Roman"/>
      <w:lang w:val="en-US" w:eastAsia="en-US"/>
    </w:rPr>
    <w:tblPr/>
  </w:style>
  <w:style w:type="paragraph" w:customStyle="1" w:styleId="tal1">
    <w:name w:val="tal"/>
    <w:basedOn w:val="Normal"/>
    <w:qFormat/>
    <w:rsid w:val="00A40BD4"/>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5">
    <w:name w:val="수정"/>
    <w:hidden/>
    <w:semiHidden/>
    <w:qFormat/>
    <w:rsid w:val="00A40BD4"/>
    <w:rPr>
      <w:rFonts w:ascii="Times New Roman" w:eastAsia="Batang" w:hAnsi="Times New Roman"/>
      <w:lang w:eastAsia="en-US"/>
    </w:rPr>
  </w:style>
  <w:style w:type="paragraph" w:customStyle="1" w:styleId="a6">
    <w:name w:val="変更箇所"/>
    <w:hidden/>
    <w:semiHidden/>
    <w:qFormat/>
    <w:rsid w:val="00A40BD4"/>
    <w:rPr>
      <w:rFonts w:ascii="Times New Roman" w:eastAsia="MS Mincho" w:hAnsi="Times New Roman"/>
      <w:lang w:eastAsia="en-US"/>
    </w:rPr>
  </w:style>
  <w:style w:type="paragraph" w:customStyle="1" w:styleId="NB2">
    <w:name w:val="NB2"/>
    <w:basedOn w:val="ZG"/>
    <w:qFormat/>
    <w:rsid w:val="00A40BD4"/>
    <w:pPr>
      <w:framePr w:wrap="notBeside"/>
      <w:overflowPunct/>
      <w:autoSpaceDE/>
      <w:autoSpaceDN/>
      <w:adjustRightInd/>
      <w:textAlignment w:val="auto"/>
    </w:pPr>
    <w:rPr>
      <w:noProof w:val="0"/>
      <w:lang w:val="en-US" w:eastAsia="ko-KR"/>
    </w:rPr>
  </w:style>
  <w:style w:type="paragraph" w:customStyle="1" w:styleId="tableentry">
    <w:name w:val="table entry"/>
    <w:basedOn w:val="Normal"/>
    <w:qFormat/>
    <w:rsid w:val="00A40BD4"/>
    <w:pPr>
      <w:keepNext/>
      <w:overflowPunct/>
      <w:autoSpaceDE/>
      <w:autoSpaceDN/>
      <w:adjustRightInd/>
      <w:spacing w:before="60" w:after="60"/>
      <w:textAlignment w:val="auto"/>
    </w:pPr>
    <w:rPr>
      <w:rFonts w:ascii="Bookman Old Style" w:eastAsia="SimSun" w:hAnsi="Bookman Old Style"/>
      <w:lang w:val="en-US" w:eastAsia="ko-KR"/>
    </w:rPr>
  </w:style>
  <w:style w:type="character" w:customStyle="1" w:styleId="EditorsNoteChar">
    <w:name w:val="Editor's Note Char"/>
    <w:uiPriority w:val="99"/>
    <w:qFormat/>
    <w:rsid w:val="00A40BD4"/>
    <w:rPr>
      <w:rFonts w:ascii="Times New Roman" w:hAnsi="Times New Roman"/>
      <w:color w:val="FF0000"/>
      <w:lang w:val="en-GB" w:eastAsia="en-US"/>
    </w:rPr>
  </w:style>
  <w:style w:type="table" w:customStyle="1" w:styleId="TableGrid5">
    <w:name w:val="Table Grid5"/>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A40BD4"/>
    <w:pPr>
      <w:ind w:left="1418" w:hanging="1418"/>
    </w:pPr>
    <w:rPr>
      <w:rFonts w:eastAsia="MS Mincho"/>
      <w:noProof w:val="0"/>
      <w:lang w:val="en-US" w:eastAsia="ja-JP"/>
    </w:rPr>
  </w:style>
  <w:style w:type="paragraph" w:customStyle="1" w:styleId="Caption3">
    <w:name w:val="Caption3"/>
    <w:basedOn w:val="Normal"/>
    <w:next w:val="Normal"/>
    <w:qFormat/>
    <w:rsid w:val="00A40BD4"/>
    <w:pPr>
      <w:spacing w:before="120" w:after="120"/>
    </w:pPr>
    <w:rPr>
      <w:rFonts w:eastAsia="MS Mincho"/>
      <w:b/>
      <w:lang w:eastAsia="ja-JP"/>
    </w:rPr>
  </w:style>
  <w:style w:type="paragraph" w:customStyle="1" w:styleId="TableofFigures3">
    <w:name w:val="Table of Figures3"/>
    <w:basedOn w:val="Normal"/>
    <w:next w:val="Normal"/>
    <w:qFormat/>
    <w:rsid w:val="00A40BD4"/>
    <w:pPr>
      <w:ind w:left="400" w:hanging="400"/>
      <w:jc w:val="center"/>
    </w:pPr>
    <w:rPr>
      <w:rFonts w:eastAsia="MS Mincho"/>
      <w:b/>
      <w:lang w:eastAsia="ja-JP"/>
    </w:rPr>
  </w:style>
  <w:style w:type="table" w:customStyle="1" w:styleId="TableGrid7">
    <w:name w:val="Table Grid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正文1"/>
    <w:qFormat/>
    <w:rsid w:val="00A40BD4"/>
    <w:pPr>
      <w:jc w:val="both"/>
    </w:pPr>
    <w:rPr>
      <w:rFonts w:ascii="SimSun" w:hAnsi="SimSun" w:cs="SimSun"/>
      <w:kern w:val="2"/>
      <w:sz w:val="21"/>
      <w:szCs w:val="21"/>
      <w:lang w:val="en-US" w:eastAsia="zh-CN"/>
    </w:rPr>
  </w:style>
  <w:style w:type="paragraph" w:customStyle="1" w:styleId="font5">
    <w:name w:val="font5"/>
    <w:basedOn w:val="Normal"/>
    <w:qFormat/>
    <w:rsid w:val="00A40BD4"/>
    <w:pPr>
      <w:overflowPunct/>
      <w:autoSpaceDE/>
      <w:autoSpaceDN/>
      <w:adjustRightInd/>
      <w:spacing w:before="100" w:beforeAutospacing="1" w:after="100" w:afterAutospacing="1"/>
      <w:textAlignment w:val="auto"/>
    </w:pPr>
    <w:rPr>
      <w:rFonts w:ascii="Arial" w:hAnsi="Arial" w:cs="Arial"/>
      <w:color w:val="000000"/>
      <w:sz w:val="18"/>
      <w:szCs w:val="18"/>
      <w:lang w:val="fi-FI" w:eastAsia="fi-FI"/>
    </w:rPr>
  </w:style>
  <w:style w:type="paragraph" w:customStyle="1" w:styleId="xl65">
    <w:name w:val="xl65"/>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68">
    <w:name w:val="xl68"/>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A40BD4"/>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A40BD4"/>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A40BD4"/>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A40BD4"/>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A40BD4"/>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A40BD4"/>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A40BD4"/>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8">
    <w:name w:val="xl78"/>
    <w:basedOn w:val="Normal"/>
    <w:qFormat/>
    <w:rsid w:val="00A40BD4"/>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9">
    <w:name w:val="xl79"/>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A40BD4"/>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A40BD4"/>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84">
    <w:name w:val="xl84"/>
    <w:basedOn w:val="Normal"/>
    <w:qFormat/>
    <w:rsid w:val="00A40BD4"/>
    <w:pP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A40BD4"/>
    <w:pPr>
      <w:pBdr>
        <w:bottom w:val="single" w:sz="8" w:space="0" w:color="000000"/>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A40BD4"/>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character" w:customStyle="1" w:styleId="font4">
    <w:name w:val="font4"/>
    <w:basedOn w:val="DefaultParagraphFont"/>
    <w:qFormat/>
    <w:rsid w:val="00A40BD4"/>
  </w:style>
  <w:style w:type="table" w:customStyle="1" w:styleId="TableGrid41">
    <w:name w:val="Table Grid4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A40BD4"/>
    <w:rPr>
      <w:b/>
      <w:bCs/>
      <w:i/>
      <w:iCs/>
      <w:color w:val="4F81BD"/>
    </w:rPr>
  </w:style>
  <w:style w:type="character" w:customStyle="1" w:styleId="capChar6">
    <w:name w:val="cap Char6"/>
    <w:aliases w:val="cap Char Char6,Caption Char Char5,Caption Char1 Char Char5,cap Char Char1 Char5,Caption Char Char1 Char Char5,cap Char2 Char Char Char5"/>
    <w:qFormat/>
    <w:rsid w:val="00A40BD4"/>
    <w:rPr>
      <w:b/>
      <w:lang w:val="en-GB" w:eastAsia="en-US" w:bidi="ar-SA"/>
    </w:rPr>
  </w:style>
  <w:style w:type="table" w:customStyle="1" w:styleId="TableGrid71">
    <w:name w:val="Table Grid7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A40BD4"/>
    <w:rPr>
      <w:rFonts w:ascii="Times New Roman" w:eastAsia="MS Mincho" w:hAnsi="Times New Roman"/>
      <w:lang w:val="en-US" w:eastAsia="en-US"/>
    </w:rPr>
    <w:tblPr/>
  </w:style>
  <w:style w:type="table" w:customStyle="1" w:styleId="TableGrid51">
    <w:name w:val="Table Grid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A40BD4"/>
  </w:style>
  <w:style w:type="paragraph" w:customStyle="1" w:styleId="Figuretitle0">
    <w:name w:val="Figure_title"/>
    <w:basedOn w:val="Normal"/>
    <w:next w:val="Normal"/>
    <w:qFormat/>
    <w:rsid w:val="00A40BD4"/>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qFormat/>
    <w:rsid w:val="00A40BD4"/>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qFormat/>
    <w:rsid w:val="00A40BD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qFormat/>
    <w:rsid w:val="00A40BD4"/>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link w:val="TableNo0"/>
    <w:qFormat/>
    <w:rsid w:val="00A40BD4"/>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qFormat/>
    <w:rsid w:val="00A40BD4"/>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qFormat/>
    <w:rsid w:val="00A40BD4"/>
    <w:pPr>
      <w:numPr>
        <w:numId w:val="17"/>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A40BD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A40BD4"/>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character" w:customStyle="1" w:styleId="st">
    <w:name w:val="st"/>
    <w:basedOn w:val="DefaultParagraphFont"/>
    <w:qFormat/>
    <w:rsid w:val="00A40BD4"/>
  </w:style>
  <w:style w:type="paragraph" w:customStyle="1" w:styleId="tah0">
    <w:name w:val="tah"/>
    <w:basedOn w:val="Normal"/>
    <w:qFormat/>
    <w:rsid w:val="00A40BD4"/>
    <w:pPr>
      <w:keepNext/>
      <w:overflowPunct/>
      <w:autoSpaceDE/>
      <w:autoSpaceDN/>
      <w:adjustRightInd/>
      <w:spacing w:after="0"/>
      <w:jc w:val="center"/>
      <w:textAlignment w:val="auto"/>
    </w:pPr>
    <w:rPr>
      <w:rFonts w:ascii="Arial" w:eastAsia="PMingLiU" w:hAnsi="Arial" w:cs="Arial"/>
      <w:b/>
      <w:bCs/>
      <w:sz w:val="18"/>
      <w:szCs w:val="18"/>
      <w:lang w:eastAsia="zh-TW"/>
    </w:rPr>
  </w:style>
  <w:style w:type="character" w:customStyle="1" w:styleId="st1">
    <w:name w:val="st1"/>
    <w:basedOn w:val="DefaultParagraphFont"/>
    <w:qFormat/>
    <w:rsid w:val="00A40BD4"/>
  </w:style>
  <w:style w:type="paragraph" w:customStyle="1" w:styleId="TdocHeader2">
    <w:name w:val="Tdoc_Header_2"/>
    <w:basedOn w:val="Normal"/>
    <w:qFormat/>
    <w:rsid w:val="00A40BD4"/>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table" w:customStyle="1" w:styleId="TableGrid22">
    <w:name w:val="Table Grid22"/>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A40BD4"/>
    <w:pPr>
      <w:keepNext/>
      <w:keepLines/>
      <w:overflowPunct/>
      <w:autoSpaceDE/>
      <w:autoSpaceDN/>
      <w:adjustRightInd/>
      <w:spacing w:after="0"/>
      <w:ind w:left="851" w:hanging="851"/>
      <w:textAlignment w:val="auto"/>
    </w:pPr>
    <w:rPr>
      <w:rFonts w:ascii="Arial" w:eastAsiaTheme="minorEastAsia" w:hAnsi="Arial"/>
      <w:sz w:val="18"/>
      <w:lang w:eastAsia="en-US"/>
    </w:rPr>
  </w:style>
  <w:style w:type="table" w:customStyle="1" w:styleId="Tabellengitternetz12">
    <w:name w:val="Tabellengitternetz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0">
    <w:name w:val="网格型3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3">
    <w:name w:val="修订3"/>
    <w:hidden/>
    <w:semiHidden/>
    <w:qFormat/>
    <w:rsid w:val="00A40BD4"/>
    <w:rPr>
      <w:rFonts w:ascii="Times New Roman" w:eastAsia="Batang" w:hAnsi="Times New Roman"/>
      <w:lang w:eastAsia="en-US"/>
    </w:rPr>
  </w:style>
  <w:style w:type="paragraph" w:customStyle="1" w:styleId="Style95">
    <w:name w:val="_Style 95"/>
    <w:uiPriority w:val="99"/>
    <w:semiHidden/>
    <w:qFormat/>
    <w:rsid w:val="00A40BD4"/>
    <w:pPr>
      <w:spacing w:after="160" w:line="256" w:lineRule="auto"/>
    </w:pPr>
    <w:rPr>
      <w:rFonts w:ascii="CG Times (WN)" w:eastAsia="Times New Roman" w:hAnsi="CG Times (WN)"/>
      <w:lang w:eastAsia="en-US"/>
    </w:rPr>
  </w:style>
  <w:style w:type="character" w:customStyle="1" w:styleId="Style115">
    <w:name w:val="_Style 115"/>
    <w:uiPriority w:val="31"/>
    <w:qFormat/>
    <w:rsid w:val="00A40BD4"/>
    <w:rPr>
      <w:smallCaps/>
      <w:color w:val="5A5A5A"/>
    </w:rPr>
  </w:style>
  <w:style w:type="paragraph" w:customStyle="1" w:styleId="Style91">
    <w:name w:val="_Style 91"/>
    <w:uiPriority w:val="99"/>
    <w:semiHidden/>
    <w:qFormat/>
    <w:rsid w:val="00A40BD4"/>
    <w:pPr>
      <w:spacing w:after="160" w:line="259" w:lineRule="auto"/>
    </w:pPr>
    <w:rPr>
      <w:rFonts w:ascii="CG Times (WN)" w:eastAsia="Times New Roman" w:hAnsi="CG Times (WN)"/>
      <w:lang w:eastAsia="en-US"/>
    </w:rPr>
  </w:style>
  <w:style w:type="character" w:customStyle="1" w:styleId="Style104">
    <w:name w:val="_Style 104"/>
    <w:uiPriority w:val="31"/>
    <w:qFormat/>
    <w:rsid w:val="00A40BD4"/>
    <w:rPr>
      <w:smallCaps/>
      <w:color w:val="5A5A5A"/>
    </w:rPr>
  </w:style>
  <w:style w:type="table" w:customStyle="1" w:styleId="TableGrid9">
    <w:name w:val="Table Grid9"/>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unhideWhenUsed/>
    <w:qFormat/>
    <w:rsid w:val="00A40BD4"/>
    <w:rPr>
      <w:color w:val="605E5C"/>
      <w:shd w:val="clear" w:color="auto" w:fill="E1DFDD"/>
    </w:rPr>
  </w:style>
  <w:style w:type="table" w:customStyle="1" w:styleId="TableGrid100">
    <w:name w:val="Table Grid10"/>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网格型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A40BD4"/>
    <w:pPr>
      <w:spacing w:after="160" w:line="259" w:lineRule="auto"/>
    </w:pPr>
    <w:rPr>
      <w:rFonts w:ascii="Times New Roman" w:eastAsia="MS Mincho" w:hAnsi="Times New Roman"/>
      <w:lang w:eastAsia="en-US"/>
    </w:rPr>
  </w:style>
  <w:style w:type="character" w:customStyle="1" w:styleId="Style105">
    <w:name w:val="_Style 105"/>
    <w:uiPriority w:val="31"/>
    <w:qFormat/>
    <w:rsid w:val="00A40BD4"/>
    <w:rPr>
      <w:smallCaps/>
      <w:color w:val="5A5A5A"/>
    </w:rPr>
  </w:style>
  <w:style w:type="paragraph" w:customStyle="1" w:styleId="Style90">
    <w:name w:val="_Style 90"/>
    <w:uiPriority w:val="99"/>
    <w:semiHidden/>
    <w:qFormat/>
    <w:rsid w:val="00A40BD4"/>
    <w:pPr>
      <w:spacing w:after="160" w:line="259" w:lineRule="auto"/>
    </w:pPr>
    <w:rPr>
      <w:rFonts w:ascii="Times New Roman" w:eastAsia="MS Mincho" w:hAnsi="Times New Roman"/>
      <w:lang w:eastAsia="en-US"/>
    </w:rPr>
  </w:style>
  <w:style w:type="character" w:customStyle="1" w:styleId="Style113">
    <w:name w:val="_Style 113"/>
    <w:uiPriority w:val="31"/>
    <w:qFormat/>
    <w:rsid w:val="00A40BD4"/>
    <w:rPr>
      <w:smallCaps/>
      <w:color w:val="5A5A5A"/>
    </w:rPr>
  </w:style>
  <w:style w:type="paragraph" w:customStyle="1" w:styleId="CharChar13">
    <w:name w:val="Char Char13"/>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Style79">
    <w:name w:val="_Style 79"/>
    <w:uiPriority w:val="99"/>
    <w:semiHidden/>
    <w:qFormat/>
    <w:rsid w:val="00A40BD4"/>
    <w:pPr>
      <w:spacing w:after="160" w:line="259" w:lineRule="auto"/>
    </w:pPr>
    <w:rPr>
      <w:rFonts w:ascii="Times New Roman" w:eastAsia="MS Mincho" w:hAnsi="Times New Roman"/>
      <w:lang w:eastAsia="en-US"/>
    </w:rPr>
  </w:style>
  <w:style w:type="paragraph" w:customStyle="1" w:styleId="1c">
    <w:name w:val="変更箇所1"/>
    <w:semiHidden/>
    <w:qFormat/>
    <w:rsid w:val="00A40BD4"/>
    <w:pPr>
      <w:autoSpaceDN w:val="0"/>
    </w:pPr>
    <w:rPr>
      <w:rFonts w:ascii="Times New Roman" w:eastAsia="MS Mincho" w:hAnsi="Times New Roman"/>
      <w:lang w:eastAsia="en-US"/>
    </w:rPr>
  </w:style>
  <w:style w:type="paragraph" w:customStyle="1" w:styleId="25">
    <w:name w:val="変更箇所2"/>
    <w:semiHidden/>
    <w:qFormat/>
    <w:rsid w:val="00A40BD4"/>
    <w:pPr>
      <w:autoSpaceDN w:val="0"/>
    </w:pPr>
    <w:rPr>
      <w:rFonts w:ascii="Times New Roman" w:eastAsia="MS Mincho" w:hAnsi="Times New Roman"/>
      <w:lang w:eastAsia="en-US"/>
    </w:rPr>
  </w:style>
  <w:style w:type="paragraph" w:customStyle="1" w:styleId="122">
    <w:name w:val="修订12"/>
    <w:hidden/>
    <w:semiHidden/>
    <w:qFormat/>
    <w:rsid w:val="00A40BD4"/>
    <w:rPr>
      <w:rFonts w:ascii="Times New Roman" w:eastAsia="Batang" w:hAnsi="Times New Roman"/>
      <w:lang w:eastAsia="en-US"/>
    </w:rPr>
  </w:style>
  <w:style w:type="character" w:customStyle="1" w:styleId="113">
    <w:name w:val="不明显参考11"/>
    <w:uiPriority w:val="31"/>
    <w:qFormat/>
    <w:rsid w:val="00A40BD4"/>
    <w:rPr>
      <w:smallCaps/>
      <w:color w:val="5A5A5A"/>
    </w:rPr>
  </w:style>
  <w:style w:type="paragraph" w:customStyle="1" w:styleId="TOC11">
    <w:name w:val="TOC 标题11"/>
    <w:basedOn w:val="Heading1"/>
    <w:next w:val="Normal"/>
    <w:uiPriority w:val="39"/>
    <w:unhideWhenUsed/>
    <w:qFormat/>
    <w:rsid w:val="00A40BD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table" w:customStyle="1" w:styleId="220">
    <w:name w:val="古典型 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
    <w:name w:val="Table Classic 21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a7">
    <w:name w:val="参考资料列表"/>
    <w:basedOn w:val="List"/>
    <w:link w:val="Char3"/>
    <w:qFormat/>
    <w:rsid w:val="00A40BD4"/>
    <w:pPr>
      <w:ind w:left="680" w:hanging="567"/>
    </w:pPr>
  </w:style>
  <w:style w:type="character" w:customStyle="1" w:styleId="Char3">
    <w:name w:val="参考资料列表 Char"/>
    <w:link w:val="a7"/>
    <w:qFormat/>
    <w:rsid w:val="00A40BD4"/>
    <w:rPr>
      <w:rFonts w:ascii="Times New Roman" w:eastAsia="Times New Roman" w:hAnsi="Times New Roman"/>
    </w:rPr>
  </w:style>
  <w:style w:type="character" w:customStyle="1" w:styleId="a8">
    <w:name w:val="文稿抬头"/>
    <w:qFormat/>
    <w:rsid w:val="00A40BD4"/>
    <w:rPr>
      <w:rFonts w:eastAsia="MS Mincho"/>
      <w:b/>
      <w:bCs/>
      <w:sz w:val="24"/>
    </w:rPr>
  </w:style>
  <w:style w:type="paragraph" w:customStyle="1" w:styleId="Revisin">
    <w:name w:val="Revisión"/>
    <w:hidden/>
    <w:uiPriority w:val="99"/>
    <w:semiHidden/>
    <w:qFormat/>
    <w:rsid w:val="00A40BD4"/>
    <w:pPr>
      <w:spacing w:before="180" w:after="180"/>
      <w:ind w:left="1134" w:hanging="1134"/>
      <w:jc w:val="both"/>
    </w:pPr>
    <w:rPr>
      <w:rFonts w:ascii="Times New Roman" w:hAnsi="Times New Roman"/>
      <w:lang w:eastAsia="en-US"/>
    </w:rPr>
  </w:style>
  <w:style w:type="paragraph" w:customStyle="1" w:styleId="a9">
    <w:name w:val="文稿标题"/>
    <w:basedOn w:val="Normal"/>
    <w:uiPriority w:val="99"/>
    <w:qFormat/>
    <w:rsid w:val="00A40BD4"/>
    <w:pPr>
      <w:ind w:left="1979" w:hanging="1979"/>
    </w:pPr>
    <w:rPr>
      <w:rFonts w:cs="SimSun"/>
      <w:b/>
      <w:sz w:val="24"/>
    </w:rPr>
  </w:style>
  <w:style w:type="paragraph" w:customStyle="1" w:styleId="aa">
    <w:name w:val="标题线"/>
    <w:basedOn w:val="Normal"/>
    <w:uiPriority w:val="99"/>
    <w:qFormat/>
    <w:rsid w:val="00A40BD4"/>
    <w:pPr>
      <w:pBdr>
        <w:bottom w:val="single" w:sz="12" w:space="1" w:color="auto"/>
      </w:pBdr>
    </w:pPr>
    <w:rPr>
      <w:rFonts w:ascii="Arial" w:hAnsi="Arial" w:cs="SimSu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A40BD4"/>
    <w:rPr>
      <w:rFonts w:ascii="Times New Roman" w:eastAsia="MS Mincho" w:hAnsi="Times New Roman"/>
      <w:lang w:val="it-IT"/>
    </w:rPr>
  </w:style>
  <w:style w:type="paragraph" w:customStyle="1" w:styleId="Doc-text2">
    <w:name w:val="Doc-text2"/>
    <w:basedOn w:val="Normal"/>
    <w:link w:val="Doc-text2Char"/>
    <w:qFormat/>
    <w:rsid w:val="00A40BD4"/>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A40BD4"/>
    <w:rPr>
      <w:rFonts w:ascii="Arial" w:eastAsia="MS Mincho" w:hAnsi="Arial"/>
      <w:szCs w:val="24"/>
    </w:rPr>
  </w:style>
  <w:style w:type="paragraph" w:customStyle="1" w:styleId="Doc-titleJK">
    <w:name w:val="Doc-title_JK"/>
    <w:basedOn w:val="Normal"/>
    <w:next w:val="Doc-text2JK"/>
    <w:link w:val="Doc-titleJKChar"/>
    <w:qFormat/>
    <w:rsid w:val="00A40BD4"/>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Normal"/>
    <w:link w:val="Doc-text2JKChar"/>
    <w:uiPriority w:val="99"/>
    <w:qFormat/>
    <w:rsid w:val="00A40BD4"/>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uiPriority w:val="99"/>
    <w:qFormat/>
    <w:rsid w:val="00A40BD4"/>
    <w:rPr>
      <w:rFonts w:ascii="Times New Roman" w:eastAsia="MS Mincho" w:hAnsi="Times New Roman"/>
      <w:szCs w:val="24"/>
    </w:rPr>
  </w:style>
  <w:style w:type="character" w:customStyle="1" w:styleId="Doc-titleJKChar">
    <w:name w:val="Doc-title_JK Char"/>
    <w:link w:val="Doc-titleJK"/>
    <w:qFormat/>
    <w:rsid w:val="00A40BD4"/>
    <w:rPr>
      <w:rFonts w:ascii="Times New Roman" w:eastAsia="MS Mincho" w:hAnsi="Times New Roman"/>
      <w:color w:val="0000FF"/>
      <w:szCs w:val="24"/>
    </w:rPr>
  </w:style>
  <w:style w:type="paragraph" w:customStyle="1" w:styleId="1">
    <w:name w:val="样式 标题 1 + 小三"/>
    <w:basedOn w:val="Heading1"/>
    <w:uiPriority w:val="99"/>
    <w:qFormat/>
    <w:rsid w:val="00A40BD4"/>
    <w:pPr>
      <w:numPr>
        <w:numId w:val="18"/>
      </w:numPr>
    </w:pPr>
    <w:rPr>
      <w:sz w:val="30"/>
      <w:szCs w:val="30"/>
    </w:rPr>
  </w:style>
  <w:style w:type="paragraph" w:customStyle="1" w:styleId="Normal0">
    <w:name w:val="Normal0"/>
    <w:uiPriority w:val="99"/>
    <w:qFormat/>
    <w:rsid w:val="00A40BD4"/>
    <w:pPr>
      <w:jc w:val="center"/>
    </w:pPr>
    <w:rPr>
      <w:rFonts w:ascii="Times New Roman" w:hAnsi="Times New Roman"/>
      <w:lang w:val="en-US" w:eastAsia="en-US"/>
    </w:rPr>
  </w:style>
  <w:style w:type="paragraph" w:customStyle="1" w:styleId="Title2">
    <w:name w:val="Title 2"/>
    <w:basedOn w:val="Normal0"/>
    <w:next w:val="Title"/>
    <w:uiPriority w:val="99"/>
    <w:qFormat/>
    <w:rsid w:val="00A40BD4"/>
    <w:pPr>
      <w:spacing w:before="120" w:after="120"/>
    </w:pPr>
    <w:rPr>
      <w:rFonts w:ascii="Book Antiqua" w:hAnsi="Book Antiqua"/>
      <w:b/>
    </w:rPr>
  </w:style>
  <w:style w:type="paragraph" w:customStyle="1" w:styleId="abstract">
    <w:name w:val="abstract"/>
    <w:basedOn w:val="Normal"/>
    <w:next w:val="Normal"/>
    <w:uiPriority w:val="99"/>
    <w:qFormat/>
    <w:rsid w:val="00A40BD4"/>
    <w:pPr>
      <w:overflowPunct/>
      <w:autoSpaceDE/>
      <w:autoSpaceDN/>
      <w:adjustRightInd/>
      <w:spacing w:before="120" w:after="120"/>
      <w:ind w:left="1440" w:right="1440"/>
      <w:textAlignment w:val="auto"/>
    </w:pPr>
    <w:rPr>
      <w:rFonts w:ascii="Book Antiqua" w:hAnsi="Book Antiqua"/>
      <w:i/>
      <w:lang w:val="en-US" w:eastAsia="en-US"/>
    </w:rPr>
  </w:style>
  <w:style w:type="paragraph" w:customStyle="1" w:styleId="OutBox1">
    <w:name w:val="Out Box 1"/>
    <w:basedOn w:val="Normal"/>
    <w:uiPriority w:val="99"/>
    <w:qFormat/>
    <w:rsid w:val="00A40BD4"/>
    <w:pPr>
      <w:spacing w:before="120" w:after="0"/>
      <w:ind w:left="1170" w:right="86" w:hanging="450"/>
    </w:pPr>
    <w:rPr>
      <w:rFonts w:ascii="Times" w:hAnsi="Times"/>
      <w:color w:val="000000"/>
      <w:lang w:val="en-US"/>
    </w:rPr>
  </w:style>
  <w:style w:type="paragraph" w:customStyle="1" w:styleId="TableText2">
    <w:name w:val="Table Text"/>
    <w:basedOn w:val="Normal"/>
    <w:uiPriority w:val="99"/>
    <w:qFormat/>
    <w:rsid w:val="00A40BD4"/>
    <w:pPr>
      <w:keepLines/>
      <w:spacing w:after="0"/>
    </w:pPr>
    <w:rPr>
      <w:rFonts w:ascii="Book Antiqua" w:hAnsi="Book Antiqua"/>
      <w:sz w:val="16"/>
      <w:lang w:val="en-US"/>
    </w:rPr>
  </w:style>
  <w:style w:type="paragraph" w:customStyle="1" w:styleId="CharChar1Char">
    <w:name w:val="Char Char1 Char"/>
    <w:basedOn w:val="Heading4"/>
    <w:next w:val="Normal"/>
    <w:uiPriority w:val="99"/>
    <w:qFormat/>
    <w:rsid w:val="00A40BD4"/>
    <w:pPr>
      <w:widowControl w:val="0"/>
      <w:tabs>
        <w:tab w:val="left" w:pos="864"/>
      </w:tabs>
      <w:overflowPunct/>
      <w:autoSpaceDE/>
      <w:autoSpaceDN/>
      <w:spacing w:beforeLines="25" w:afterLines="25"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uiPriority w:val="99"/>
    <w:qFormat/>
    <w:rsid w:val="00A40BD4"/>
    <w:pPr>
      <w:pageBreakBefore/>
      <w:widowControl w:val="0"/>
      <w:tabs>
        <w:tab w:val="left" w:pos="432"/>
      </w:tabs>
      <w:overflowPunct/>
      <w:autoSpaceDE/>
      <w:autoSpaceDN/>
      <w:adjustRightInd/>
      <w:ind w:left="432" w:hanging="432"/>
      <w:textAlignment w:val="auto"/>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A40BD4"/>
  </w:style>
  <w:style w:type="paragraph" w:customStyle="1" w:styleId="2ChapterXXStatementh22Header2l2Level2Headhea">
    <w:name w:val="样式 标题 2Chapter X.X. Statementh22Header 2l2Level 2 Headhea..."/>
    <w:basedOn w:val="Heading2"/>
    <w:uiPriority w:val="99"/>
    <w:qFormat/>
    <w:rsid w:val="00A40BD4"/>
    <w:pPr>
      <w:keepLines w:val="0"/>
      <w:widowControl w:val="0"/>
      <w:tabs>
        <w:tab w:val="left" w:pos="576"/>
      </w:tabs>
      <w:overflowPunct/>
      <w:autoSpaceDE/>
      <w:autoSpaceDN/>
      <w:adjustRightInd/>
      <w:spacing w:before="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uiPriority w:val="99"/>
    <w:qFormat/>
    <w:rsid w:val="00A40BD4"/>
    <w:pPr>
      <w:keepLines w:val="0"/>
      <w:widowControl w:val="0"/>
      <w:tabs>
        <w:tab w:val="left" w:pos="864"/>
      </w:tabs>
      <w:overflowPunct/>
      <w:autoSpaceDE/>
      <w:autoSpaceDN/>
      <w:adjustRightInd/>
      <w:spacing w:beforeLines="25" w:afterLines="25"/>
      <w:ind w:left="864" w:hanging="864"/>
      <w:textAlignment w:val="auto"/>
    </w:pPr>
    <w:rPr>
      <w:rFonts w:eastAsia="SimHei" w:cs="SimSun"/>
      <w:kern w:val="2"/>
    </w:rPr>
  </w:style>
  <w:style w:type="paragraph" w:customStyle="1" w:styleId="ab">
    <w:name w:val="图片说明"/>
    <w:basedOn w:val="Normal"/>
    <w:next w:val="Normal"/>
    <w:uiPriority w:val="99"/>
    <w:qFormat/>
    <w:rsid w:val="00A40BD4"/>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customStyle="1" w:styleId="TJ">
    <w:name w:val="TJ"/>
    <w:basedOn w:val="Normal"/>
    <w:link w:val="TJChar"/>
    <w:qFormat/>
    <w:rsid w:val="00A40BD4"/>
    <w:rPr>
      <w:b/>
      <w:sz w:val="24"/>
      <w:u w:val="single"/>
      <w:lang w:eastAsia="ko-KR"/>
    </w:rPr>
  </w:style>
  <w:style w:type="character" w:customStyle="1" w:styleId="TJChar">
    <w:name w:val="TJ Char"/>
    <w:link w:val="TJ"/>
    <w:qFormat/>
    <w:rsid w:val="00A40BD4"/>
    <w:rPr>
      <w:rFonts w:ascii="Times New Roman" w:eastAsia="Times New Roman" w:hAnsi="Times New Roma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A40BD4"/>
    <w:pPr>
      <w:widowControl w:val="0"/>
      <w:shd w:val="clear" w:color="auto" w:fill="000080"/>
      <w:overflowPunct/>
      <w:autoSpaceDE/>
      <w:autoSpaceDN/>
      <w:spacing w:after="0" w:line="436" w:lineRule="exact"/>
      <w:ind w:left="357"/>
      <w:textAlignment w:val="auto"/>
      <w:outlineLvl w:val="3"/>
    </w:pPr>
    <w:rPr>
      <w:rFonts w:ascii="Tahoma" w:hAnsi="Tahoma"/>
      <w:b/>
      <w:kern w:val="2"/>
      <w:sz w:val="24"/>
      <w:szCs w:val="24"/>
      <w:lang w:val="en-US"/>
    </w:rPr>
  </w:style>
  <w:style w:type="paragraph" w:customStyle="1" w:styleId="CharChar1CharCharCharChar">
    <w:name w:val="Char Char1 Char Char Char Char"/>
    <w:basedOn w:val="Normal"/>
    <w:uiPriority w:val="99"/>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StateHead">
    <w:name w:val="State Head"/>
    <w:basedOn w:val="Normal"/>
    <w:uiPriority w:val="99"/>
    <w:qFormat/>
    <w:rsid w:val="00A40BD4"/>
    <w:pPr>
      <w:keepNext/>
      <w:numPr>
        <w:numId w:val="19"/>
      </w:numPr>
      <w:overflowPunct/>
      <w:autoSpaceDE/>
      <w:autoSpaceDN/>
      <w:adjustRightInd/>
      <w:spacing w:before="240" w:after="0"/>
      <w:textAlignment w:val="auto"/>
    </w:pPr>
    <w:rPr>
      <w:rFonts w:ascii="Arial" w:hAnsi="Arial"/>
      <w:b/>
      <w:sz w:val="24"/>
      <w:u w:val="single"/>
      <w:lang w:val="en-US"/>
    </w:rPr>
  </w:style>
  <w:style w:type="paragraph" w:customStyle="1" w:styleId="no0">
    <w:name w:val="no"/>
    <w:basedOn w:val="Normal"/>
    <w:uiPriority w:val="99"/>
    <w:qFormat/>
    <w:rsid w:val="00A40BD4"/>
    <w:pPr>
      <w:ind w:left="1135" w:hanging="851"/>
    </w:pPr>
    <w:rPr>
      <w:rFonts w:eastAsia="Calibri"/>
      <w:lang w:val="it-IT" w:eastAsia="it-IT"/>
    </w:rPr>
  </w:style>
  <w:style w:type="character" w:customStyle="1" w:styleId="BodyTextChar2">
    <w:name w:val="Body Text Char2"/>
    <w:qFormat/>
    <w:locked/>
    <w:rsid w:val="00A40BD4"/>
    <w:rPr>
      <w:sz w:val="24"/>
      <w:lang w:val="en-US" w:eastAsia="en-US"/>
    </w:rPr>
  </w:style>
  <w:style w:type="character" w:customStyle="1" w:styleId="TableNo0">
    <w:name w:val="Table_No Знак"/>
    <w:link w:val="TableNo"/>
    <w:qFormat/>
    <w:locked/>
    <w:rsid w:val="00A40BD4"/>
    <w:rPr>
      <w:rFonts w:ascii="Times New Roman" w:eastAsiaTheme="minorEastAsia" w:hAnsi="Times New Roman"/>
      <w:caps/>
      <w:lang w:eastAsia="en-US"/>
    </w:rPr>
  </w:style>
  <w:style w:type="paragraph" w:customStyle="1" w:styleId="1112">
    <w:name w:val="修订111"/>
    <w:hidden/>
    <w:uiPriority w:val="99"/>
    <w:semiHidden/>
    <w:qFormat/>
    <w:rsid w:val="00A40BD4"/>
    <w:rPr>
      <w:rFonts w:ascii="Times New Roman" w:eastAsia="Batang" w:hAnsi="Times New Roman"/>
      <w:lang w:eastAsia="en-US"/>
    </w:rPr>
  </w:style>
  <w:style w:type="paragraph" w:customStyle="1" w:styleId="Agreement">
    <w:name w:val="Agreement"/>
    <w:basedOn w:val="Normal"/>
    <w:next w:val="Normal"/>
    <w:uiPriority w:val="99"/>
    <w:qFormat/>
    <w:rsid w:val="00A40BD4"/>
    <w:pPr>
      <w:numPr>
        <w:numId w:val="20"/>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uiPriority w:val="99"/>
    <w:qFormat/>
    <w:locked/>
    <w:rsid w:val="00A40BD4"/>
    <w:rPr>
      <w:rFonts w:ascii="Arial" w:eastAsia="MS Mincho" w:hAnsi="Arial" w:cs="Arial"/>
      <w:b/>
      <w:szCs w:val="24"/>
      <w:lang w:val="fr-FR" w:eastAsia="fr-FR"/>
    </w:rPr>
  </w:style>
  <w:style w:type="paragraph" w:customStyle="1" w:styleId="EmailDiscussion">
    <w:name w:val="EmailDiscussion"/>
    <w:basedOn w:val="Normal"/>
    <w:next w:val="Normal"/>
    <w:link w:val="EmailDiscussionChar"/>
    <w:uiPriority w:val="99"/>
    <w:qFormat/>
    <w:rsid w:val="00A40BD4"/>
    <w:pPr>
      <w:numPr>
        <w:numId w:val="21"/>
      </w:numPr>
      <w:overflowPunct/>
      <w:autoSpaceDE/>
      <w:autoSpaceDN/>
      <w:adjustRightInd/>
      <w:spacing w:before="40" w:after="0"/>
      <w:textAlignment w:val="auto"/>
    </w:pPr>
    <w:rPr>
      <w:rFonts w:ascii="Arial" w:eastAsia="MS Mincho" w:hAnsi="Arial" w:cs="Arial"/>
      <w:b/>
      <w:szCs w:val="24"/>
      <w:lang w:val="fr-FR" w:eastAsia="fr-FR"/>
    </w:rPr>
  </w:style>
  <w:style w:type="paragraph" w:customStyle="1" w:styleId="EmailDiscussion2">
    <w:name w:val="EmailDiscussion2"/>
    <w:basedOn w:val="Normal"/>
    <w:uiPriority w:val="99"/>
    <w:qFormat/>
    <w:rsid w:val="00A40BD4"/>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1">
    <w:name w:val="页眉 Char1"/>
    <w:aliases w:val="h Char1"/>
    <w:basedOn w:val="DefaultParagraphFont"/>
    <w:qFormat/>
    <w:rsid w:val="00A40BD4"/>
    <w:rPr>
      <w:rFonts w:asciiTheme="minorHAnsi" w:eastAsiaTheme="minorEastAsia" w:hAnsiTheme="minorHAnsi" w:cstheme="minorBidi"/>
      <w:kern w:val="2"/>
      <w:sz w:val="18"/>
      <w:szCs w:val="18"/>
    </w:rPr>
  </w:style>
  <w:style w:type="character" w:customStyle="1" w:styleId="font11">
    <w:name w:val="font11"/>
    <w:basedOn w:val="DefaultParagraphFont"/>
    <w:qFormat/>
    <w:rsid w:val="00A40BD4"/>
    <w:rPr>
      <w:rFonts w:ascii="Arial" w:hAnsi="Arial" w:cs="Arial" w:hint="default"/>
      <w:color w:val="000000"/>
      <w:sz w:val="18"/>
      <w:szCs w:val="18"/>
      <w:u w:val="none"/>
      <w:vertAlign w:val="superscript"/>
    </w:rPr>
  </w:style>
  <w:style w:type="character" w:customStyle="1" w:styleId="font31">
    <w:name w:val="font31"/>
    <w:basedOn w:val="DefaultParagraphFont"/>
    <w:qFormat/>
    <w:rsid w:val="00A40BD4"/>
    <w:rPr>
      <w:rFonts w:ascii="Arial" w:hAnsi="Arial" w:cs="Arial" w:hint="default"/>
      <w:color w:val="000000"/>
      <w:sz w:val="18"/>
      <w:szCs w:val="18"/>
      <w:u w:val="none"/>
    </w:rPr>
  </w:style>
  <w:style w:type="character" w:customStyle="1" w:styleId="font21">
    <w:name w:val="font21"/>
    <w:basedOn w:val="DefaultParagraphFont"/>
    <w:qFormat/>
    <w:rsid w:val="00A40BD4"/>
    <w:rPr>
      <w:rFonts w:ascii="Arial" w:hAnsi="Arial" w:cs="Arial" w:hint="default"/>
      <w:color w:val="000000"/>
      <w:sz w:val="18"/>
      <w:szCs w:val="18"/>
      <w:u w:val="none"/>
    </w:rPr>
  </w:style>
  <w:style w:type="character" w:customStyle="1" w:styleId="font01">
    <w:name w:val="font01"/>
    <w:basedOn w:val="DefaultParagraphFont"/>
    <w:qFormat/>
    <w:rsid w:val="00A40BD4"/>
    <w:rPr>
      <w:rFonts w:ascii="Arial" w:hAnsi="Arial" w:cs="Arial" w:hint="default"/>
      <w:color w:val="000000"/>
      <w:sz w:val="18"/>
      <w:szCs w:val="18"/>
      <w:u w:val="none"/>
      <w:vertAlign w:val="superscript"/>
    </w:rPr>
  </w:style>
  <w:style w:type="character" w:customStyle="1" w:styleId="font51">
    <w:name w:val="font51"/>
    <w:basedOn w:val="DefaultParagraphFont"/>
    <w:qFormat/>
    <w:rsid w:val="00A40BD4"/>
    <w:rPr>
      <w:rFonts w:ascii="Arial" w:hAnsi="Arial" w:cs="Arial" w:hint="default"/>
      <w:color w:val="000000"/>
      <w:sz w:val="21"/>
      <w:szCs w:val="21"/>
      <w:u w:val="none"/>
    </w:rPr>
  </w:style>
  <w:style w:type="character" w:customStyle="1" w:styleId="font41">
    <w:name w:val="font41"/>
    <w:basedOn w:val="DefaultParagraphFont"/>
    <w:qFormat/>
    <w:rsid w:val="00A40BD4"/>
    <w:rPr>
      <w:rFonts w:ascii="Arial" w:hAnsi="Arial" w:cs="Arial" w:hint="default"/>
      <w:color w:val="000000"/>
      <w:sz w:val="18"/>
      <w:szCs w:val="18"/>
      <w:u w:val="none"/>
      <w:vertAlign w:val="superscript"/>
    </w:rPr>
  </w:style>
  <w:style w:type="table" w:customStyle="1" w:styleId="114">
    <w:name w:val="网格型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不明显参考2"/>
    <w:uiPriority w:val="31"/>
    <w:qFormat/>
    <w:rsid w:val="00A40BD4"/>
    <w:rPr>
      <w:smallCaps/>
      <w:color w:val="5A5A5A"/>
    </w:rPr>
  </w:style>
  <w:style w:type="paragraph" w:customStyle="1" w:styleId="TOC20">
    <w:name w:val="TOC 标题2"/>
    <w:basedOn w:val="Heading1"/>
    <w:next w:val="Normal"/>
    <w:uiPriority w:val="39"/>
    <w:unhideWhenUsed/>
    <w:qFormat/>
    <w:rsid w:val="00A40BD4"/>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customStyle="1" w:styleId="27">
    <w:name w:val="网格型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A40BD4"/>
    <w:rPr>
      <w:rFonts w:ascii="Times New Roman" w:eastAsia="MS Mincho" w:hAnsi="Times New Roman"/>
      <w:lang w:val="en-US" w:eastAsia="en-US"/>
    </w:rPr>
    <w:tblPr/>
  </w:style>
  <w:style w:type="table" w:customStyle="1" w:styleId="Tabellengitternetz1112">
    <w:name w:val="Tabellengitternetz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2">
    <w:name w:val="明显强调21"/>
    <w:uiPriority w:val="21"/>
    <w:qFormat/>
    <w:rsid w:val="00A40BD4"/>
    <w:rPr>
      <w:b/>
      <w:bCs/>
      <w:i/>
      <w:iCs/>
      <w:color w:val="4F81BD"/>
    </w:rPr>
  </w:style>
  <w:style w:type="table" w:customStyle="1" w:styleId="230">
    <w:name w:val="古典型 23"/>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
    <w:name w:val="Table Grid7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
    <w:name w:val="Table Grid9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型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0">
    <w:name w:val="古典型 24"/>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
    <w:name w:val="网格型8"/>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1d">
    <w:name w:val="수정1"/>
    <w:hidden/>
    <w:semiHidden/>
    <w:qFormat/>
    <w:rsid w:val="00A40BD4"/>
    <w:rPr>
      <w:rFonts w:ascii="Times New Roman" w:eastAsia="Batang" w:hAnsi="Times New Roman"/>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40BD4"/>
    <w:rPr>
      <w:rFonts w:ascii="Arial" w:hAnsi="Arial"/>
      <w:sz w:val="36"/>
      <w:lang w:val="en-GB" w:eastAsia="en-US"/>
    </w:rPr>
  </w:style>
  <w:style w:type="paragraph" w:customStyle="1" w:styleId="tac00">
    <w:name w:val="tac0"/>
    <w:basedOn w:val="Normal"/>
    <w:qFormat/>
    <w:rsid w:val="00A40BD4"/>
    <w:pPr>
      <w:keepNext/>
      <w:overflowPunct/>
      <w:autoSpaceDE/>
      <w:autoSpaceDN/>
      <w:adjustRightInd/>
      <w:spacing w:after="0"/>
      <w:jc w:val="center"/>
      <w:textAlignment w:val="auto"/>
    </w:pPr>
    <w:rPr>
      <w:rFonts w:ascii="Arial" w:eastAsia="Calibri" w:hAnsi="Arial" w:cs="Arial"/>
      <w:lang w:val="fi-FI" w:eastAsia="fi-FI"/>
    </w:rPr>
  </w:style>
  <w:style w:type="paragraph" w:customStyle="1" w:styleId="tah00">
    <w:name w:val="tah0"/>
    <w:basedOn w:val="Normal"/>
    <w:qFormat/>
    <w:rsid w:val="00A40BD4"/>
    <w:pPr>
      <w:keepNext/>
      <w:widowControl w:val="0"/>
      <w:overflowPunct/>
      <w:autoSpaceDE/>
      <w:autoSpaceDN/>
      <w:adjustRightInd/>
      <w:spacing w:after="0"/>
      <w:jc w:val="center"/>
      <w:textAlignment w:val="auto"/>
    </w:pPr>
    <w:rPr>
      <w:rFonts w:ascii="Intel Clear" w:eastAsiaTheme="minorEastAsia" w:hAnsi="Intel Clear" w:cs="Intel Clear"/>
      <w:b/>
      <w:bCs/>
      <w:kern w:val="2"/>
      <w:sz w:val="21"/>
      <w:szCs w:val="22"/>
      <w:lang w:val="fi-FI" w:eastAsia="fi-FI"/>
    </w:rPr>
  </w:style>
  <w:style w:type="paragraph" w:customStyle="1" w:styleId="arial">
    <w:name w:val="arial"/>
    <w:basedOn w:val="TAL"/>
    <w:qFormat/>
    <w:rsid w:val="00A40BD4"/>
    <w:rPr>
      <w:rFonts w:eastAsiaTheme="minorEastAsia"/>
    </w:rPr>
  </w:style>
  <w:style w:type="table" w:customStyle="1" w:styleId="TableGrid17">
    <w:name w:val="Table Grid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A40BD4"/>
    <w:rPr>
      <w:rFonts w:ascii="Times New Roman" w:eastAsia="MS Mincho" w:hAnsi="Times New Roman"/>
      <w:lang w:val="en-US" w:eastAsia="en-US"/>
    </w:rPr>
    <w:tblPr/>
  </w:style>
  <w:style w:type="table" w:customStyle="1" w:styleId="TableGrid84">
    <w:name w:val="Table Grid8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A40BD4"/>
    <w:rPr>
      <w:rFonts w:ascii="Arial" w:hAnsi="Arial" w:cs="Arial" w:hint="default"/>
      <w:sz w:val="36"/>
      <w:lang w:val="en-GB" w:eastAsia="en-US" w:bidi="ar-SA"/>
    </w:rPr>
  </w:style>
  <w:style w:type="table" w:customStyle="1" w:styleId="260">
    <w:name w:val="古典型 26"/>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8">
    <w:name w:val="Table Grid18"/>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A40BD4"/>
    <w:pPr>
      <w:spacing w:after="160" w:line="259" w:lineRule="auto"/>
    </w:pPr>
    <w:rPr>
      <w:rFonts w:ascii="Times New Roman" w:hAnsi="Times New Roman"/>
      <w:lang w:eastAsia="en-US"/>
    </w:rPr>
  </w:style>
  <w:style w:type="character" w:customStyle="1" w:styleId="SubtleReference1">
    <w:name w:val="Subtle Reference1"/>
    <w:uiPriority w:val="31"/>
    <w:qFormat/>
    <w:rsid w:val="00A40BD4"/>
    <w:rPr>
      <w:smallCaps/>
      <w:color w:val="C0504D"/>
      <w:u w:val="single"/>
    </w:rPr>
  </w:style>
  <w:style w:type="table" w:customStyle="1" w:styleId="417">
    <w:name w:val="无格式表格 41"/>
    <w:basedOn w:val="TableNormal"/>
    <w:uiPriority w:val="44"/>
    <w:qFormat/>
    <w:rsid w:val="00A40BD4"/>
    <w:rPr>
      <w:rFonts w:ascii="Times New Roman" w:hAnsi="Times New Roman"/>
      <w:lang w:val="en-US" w:eastAsia="en-US"/>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igureTitleChar">
    <w:name w:val="Figure Title Char"/>
    <w:qFormat/>
    <w:rsid w:val="00A40BD4"/>
    <w:rPr>
      <w:rFonts w:ascii="Arial" w:hAnsi="Arial"/>
      <w:lang w:val="en-GB" w:eastAsia="en-US" w:bidi="ar-SA"/>
    </w:rPr>
  </w:style>
  <w:style w:type="character" w:customStyle="1" w:styleId="p1">
    <w:name w:val="p1"/>
    <w:qFormat/>
    <w:rsid w:val="00A40BD4"/>
  </w:style>
  <w:style w:type="character" w:customStyle="1" w:styleId="e-031">
    <w:name w:val="e-031"/>
    <w:qFormat/>
    <w:rsid w:val="00A40BD4"/>
    <w:rPr>
      <w:i/>
      <w:iCs/>
    </w:rPr>
  </w:style>
  <w:style w:type="character" w:customStyle="1" w:styleId="hps">
    <w:name w:val="hps"/>
    <w:qFormat/>
    <w:rsid w:val="00A40BD4"/>
  </w:style>
  <w:style w:type="character" w:customStyle="1" w:styleId="IntenseEmphasis1">
    <w:name w:val="Intense Emphasis1"/>
    <w:basedOn w:val="DefaultParagraphFont"/>
    <w:uiPriority w:val="21"/>
    <w:qFormat/>
    <w:rsid w:val="00A40BD4"/>
    <w:rPr>
      <w:b/>
      <w:bCs/>
      <w:i/>
      <w:iCs/>
      <w:color w:val="4F81BD"/>
    </w:rPr>
  </w:style>
  <w:style w:type="character" w:customStyle="1" w:styleId="EditorsNoteChar1">
    <w:name w:val="Editor's Note Char1"/>
    <w:qFormat/>
    <w:rsid w:val="00A40BD4"/>
    <w:rPr>
      <w:rFonts w:ascii="Times New Roman" w:hAnsi="Times New Roman"/>
      <w:color w:val="FF0000"/>
      <w:lang w:val="en-GB" w:eastAsia="en-US"/>
    </w:rPr>
  </w:style>
  <w:style w:type="character" w:customStyle="1" w:styleId="TAHChar">
    <w:name w:val="TAH Char"/>
    <w:qFormat/>
    <w:locked/>
    <w:rsid w:val="00A40BD4"/>
    <w:rPr>
      <w:rFonts w:ascii="Arial" w:hAnsi="Arial" w:cs="Arial"/>
      <w:b/>
      <w:sz w:val="18"/>
      <w:lang w:val="en-GB"/>
    </w:rPr>
  </w:style>
  <w:style w:type="character" w:customStyle="1" w:styleId="IntenseEmphasis2">
    <w:name w:val="Intense Emphasis2"/>
    <w:uiPriority w:val="21"/>
    <w:qFormat/>
    <w:rsid w:val="00A40BD4"/>
    <w:rPr>
      <w:b/>
      <w:bCs/>
      <w:i/>
      <w:iCs/>
      <w:color w:val="4F81BD"/>
    </w:rPr>
  </w:style>
  <w:style w:type="paragraph" w:customStyle="1" w:styleId="TOCHeading1">
    <w:name w:val="TOC Heading1"/>
    <w:basedOn w:val="Heading1"/>
    <w:next w:val="Normal"/>
    <w:uiPriority w:val="39"/>
    <w:unhideWhenUsed/>
    <w:qFormat/>
    <w:rsid w:val="00A40BD4"/>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eastAsia="en-US"/>
    </w:rPr>
  </w:style>
  <w:style w:type="character" w:customStyle="1" w:styleId="normaltextrun">
    <w:name w:val="normaltextrun"/>
    <w:basedOn w:val="DefaultParagraphFont"/>
    <w:qFormat/>
    <w:rsid w:val="00A40BD4"/>
  </w:style>
  <w:style w:type="character" w:customStyle="1" w:styleId="search-word-mail">
    <w:name w:val="search-word-mail"/>
    <w:qFormat/>
    <w:rsid w:val="00A40BD4"/>
  </w:style>
  <w:style w:type="character" w:customStyle="1" w:styleId="Char12">
    <w:name w:val="脚注文本 Char1"/>
    <w:aliases w:val="footnote text41 Char1"/>
    <w:basedOn w:val="DefaultParagraphFont"/>
    <w:semiHidden/>
    <w:qFormat/>
    <w:rsid w:val="00A40BD4"/>
    <w:rPr>
      <w:rFonts w:ascii="Times New Roman" w:eastAsia="Times New Roman" w:hAnsi="Times New Roman"/>
      <w:sz w:val="18"/>
      <w:szCs w:val="18"/>
      <w:lang w:val="en-GB" w:eastAsia="en-GB"/>
    </w:rPr>
  </w:style>
  <w:style w:type="character" w:customStyle="1" w:styleId="word">
    <w:name w:val="word"/>
    <w:basedOn w:val="DefaultParagraphFont"/>
    <w:qFormat/>
    <w:rsid w:val="00A40BD4"/>
  </w:style>
  <w:style w:type="character" w:customStyle="1" w:styleId="1e">
    <w:name w:val="未处理的提及1"/>
    <w:basedOn w:val="DefaultParagraphFont"/>
    <w:uiPriority w:val="99"/>
    <w:semiHidden/>
    <w:qFormat/>
    <w:rsid w:val="00A40BD4"/>
    <w:rPr>
      <w:color w:val="605E5C"/>
      <w:shd w:val="clear" w:color="auto" w:fill="E1DFDD"/>
    </w:rPr>
  </w:style>
  <w:style w:type="character" w:customStyle="1" w:styleId="ac">
    <w:name w:val="首标题"/>
    <w:qFormat/>
    <w:rsid w:val="00A40BD4"/>
    <w:rPr>
      <w:rFonts w:ascii="Arial" w:eastAsia="SimSun" w:hAnsi="Arial"/>
      <w:sz w:val="24"/>
      <w:lang w:val="en-US" w:eastAsia="zh-CN" w:bidi="ar-SA"/>
    </w:rPr>
  </w:style>
  <w:style w:type="character" w:customStyle="1" w:styleId="B1Car">
    <w:name w:val="B1+ Car"/>
    <w:link w:val="B1"/>
    <w:qFormat/>
    <w:rsid w:val="00A40BD4"/>
    <w:rPr>
      <w:rFonts w:ascii="Times New Roma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qFormat/>
    <w:rsid w:val="00A40BD4"/>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A40BD4"/>
    <w:rPr>
      <w:color w:val="605E5C"/>
      <w:shd w:val="clear" w:color="auto" w:fill="E1DFDD"/>
    </w:rPr>
  </w:style>
  <w:style w:type="paragraph" w:customStyle="1" w:styleId="Style86">
    <w:name w:val="_Style 86"/>
    <w:uiPriority w:val="99"/>
    <w:semiHidden/>
    <w:qFormat/>
    <w:rsid w:val="00A40BD4"/>
    <w:pPr>
      <w:spacing w:after="160" w:line="259" w:lineRule="auto"/>
    </w:pPr>
    <w:rPr>
      <w:rFonts w:ascii="Times New Roman" w:eastAsia="MS Mincho" w:hAnsi="Times New Roman"/>
      <w:lang w:eastAsia="en-US"/>
    </w:rPr>
  </w:style>
  <w:style w:type="table" w:customStyle="1" w:styleId="TableGrid19">
    <w:name w:val="Table Grid19"/>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古典型 27"/>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
    <w:name w:val="Table Grid46"/>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
    <w:name w:val="Table Grid12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A40BD4"/>
    <w:rPr>
      <w:rFonts w:ascii="Times New Roman" w:eastAsia="MS Mincho" w:hAnsi="Times New Roman"/>
      <w:lang w:val="en-US" w:eastAsia="en-US"/>
    </w:rPr>
    <w:tblPr/>
  </w:style>
  <w:style w:type="table" w:customStyle="1" w:styleId="TableGrid58">
    <w:name w:val="Table Grid58"/>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A40BD4"/>
    <w:rPr>
      <w:rFonts w:ascii="Times New Roman" w:eastAsia="MS Mincho" w:hAnsi="Times New Roman"/>
      <w:lang w:val="en-US" w:eastAsia="en-US"/>
    </w:rPr>
    <w:tblPr/>
  </w:style>
  <w:style w:type="table" w:customStyle="1" w:styleId="TableGrid515">
    <w:name w:val="Table Grid51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
    <w:name w:val="Table Grid9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
    <w:name w:val="古典型 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1">
    <w:name w:val="Table Classic 21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
    <w:name w:val="网格型2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A40BD4"/>
    <w:rPr>
      <w:rFonts w:ascii="Times New Roman" w:eastAsia="MS Mincho" w:hAnsi="Times New Roman"/>
      <w:lang w:val="en-US" w:eastAsia="en-US"/>
    </w:rPr>
    <w:tblPr/>
  </w:style>
  <w:style w:type="table" w:customStyle="1" w:styleId="Tabellengitternetz11121">
    <w:name w:val="Tabellengitternetz1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1">
    <w:name w:val="网格型31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
    <w:name w:val="Table Classic 21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0">
    <w:name w:val="网格型81"/>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
    <w:name w:val="网格型9"/>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古典型 28"/>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
    <w:name w:val="Table Grid47"/>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
    <w:name w:val="Table Grid12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A40BD4"/>
    <w:rPr>
      <w:rFonts w:ascii="Times New Roman" w:eastAsia="MS Mincho" w:hAnsi="Times New Roman"/>
      <w:lang w:val="en-US" w:eastAsia="en-US"/>
    </w:rPr>
    <w:tblPr/>
  </w:style>
  <w:style w:type="table" w:customStyle="1" w:styleId="TableGrid59">
    <w:name w:val="Table Grid59"/>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A40BD4"/>
    <w:rPr>
      <w:rFonts w:ascii="Times New Roman" w:eastAsia="MS Mincho" w:hAnsi="Times New Roman"/>
      <w:lang w:val="en-US" w:eastAsia="en-US"/>
    </w:rPr>
    <w:tblPr/>
  </w:style>
  <w:style w:type="table" w:customStyle="1" w:styleId="TableGrid516">
    <w:name w:val="Table Grid51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
    <w:name w:val="网格型31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
    <w:name w:val="Table Classic 2116"/>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
    <w:name w:val="Table Grid96"/>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0">
    <w:name w:val="古典型 2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
    <w:name w:val="Table Classic 21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0">
    <w:name w:val="网格型11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A40BD4"/>
    <w:rPr>
      <w:rFonts w:ascii="Times New Roman" w:eastAsia="MS Mincho" w:hAnsi="Times New Roman"/>
      <w:lang w:val="en-US" w:eastAsia="en-US"/>
    </w:rPr>
    <w:tblPr/>
  </w:style>
  <w:style w:type="table" w:customStyle="1" w:styleId="Tabellengitternetz11122">
    <w:name w:val="Tabellengitternetz1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
    <w:name w:val="网格型82"/>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A40BD4"/>
    <w:pPr>
      <w:ind w:left="1418" w:hanging="1418"/>
    </w:pPr>
    <w:rPr>
      <w:rFonts w:eastAsia="MS Mincho"/>
      <w:noProof w:val="0"/>
    </w:rPr>
  </w:style>
  <w:style w:type="paragraph" w:customStyle="1" w:styleId="Caption4">
    <w:name w:val="Caption4"/>
    <w:basedOn w:val="Normal"/>
    <w:next w:val="Normal"/>
    <w:qFormat/>
    <w:rsid w:val="00A40BD4"/>
    <w:pPr>
      <w:spacing w:before="120" w:after="120"/>
    </w:pPr>
    <w:rPr>
      <w:rFonts w:eastAsia="MS Mincho"/>
      <w:b/>
    </w:rPr>
  </w:style>
  <w:style w:type="paragraph" w:customStyle="1" w:styleId="TableofFigures4">
    <w:name w:val="Table of Figures4"/>
    <w:basedOn w:val="Normal"/>
    <w:next w:val="Normal"/>
    <w:qFormat/>
    <w:rsid w:val="00A40BD4"/>
    <w:pPr>
      <w:ind w:left="400" w:hanging="400"/>
      <w:jc w:val="center"/>
    </w:pPr>
    <w:rPr>
      <w:rFonts w:eastAsia="MS Mincho"/>
      <w:b/>
    </w:rPr>
  </w:style>
  <w:style w:type="table" w:customStyle="1" w:styleId="100">
    <w:name w:val="网格型10"/>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8">
    <w:name w:val="Table Grid48"/>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8">
    <w:name w:val="Table Grid12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A40BD4"/>
    <w:rPr>
      <w:rFonts w:ascii="Times New Roman" w:eastAsia="MS Mincho" w:hAnsi="Times New Roman"/>
      <w:lang w:val="en-US" w:eastAsia="en-US"/>
    </w:rPr>
    <w:tblPr/>
  </w:style>
  <w:style w:type="table" w:customStyle="1" w:styleId="TableGrid510">
    <w:name w:val="Table Grid510"/>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A40BD4"/>
    <w:rPr>
      <w:rFonts w:ascii="Times New Roman" w:eastAsia="MS Mincho" w:hAnsi="Times New Roman"/>
      <w:lang w:val="en-US" w:eastAsia="en-US"/>
    </w:rPr>
    <w:tblPr/>
  </w:style>
  <w:style w:type="table" w:customStyle="1" w:styleId="TableGrid517">
    <w:name w:val="Table Grid51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3">
    <w:name w:val="网格型311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7">
    <w:name w:val="Table Classic 2117"/>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7">
    <w:name w:val="Table Grid97"/>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3">
    <w:name w:val="古典型 22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3">
    <w:name w:val="Table Classic 212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30">
    <w:name w:val="网格型11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A40BD4"/>
    <w:rPr>
      <w:rFonts w:ascii="Times New Roman" w:eastAsia="MS Mincho" w:hAnsi="Times New Roman"/>
      <w:lang w:val="en-US" w:eastAsia="en-US"/>
    </w:rPr>
    <w:tblPr/>
  </w:style>
  <w:style w:type="table" w:customStyle="1" w:styleId="Tabellengitternetz11123">
    <w:name w:val="Tabellengitternetz1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3">
    <w:name w:val="网格型7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3">
    <w:name w:val="Table Grid77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
    <w:name w:val="网格型311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古典型 211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3">
    <w:name w:val="网格型83"/>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5">
    <w:name w:val="网格型 11"/>
    <w:basedOn w:val="TableNormal"/>
    <w:qFormat/>
    <w:rsid w:val="00A40BD4"/>
    <w:pPr>
      <w:spacing w:after="180"/>
    </w:pPr>
    <w:rPr>
      <w:rFonts w:ascii="Times New Roman" w:hAnsi="Times New Roma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171">
    <w:name w:val="Table Grid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网格型2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A40BD4"/>
    <w:rPr>
      <w:rFonts w:ascii="Times New Roman" w:eastAsia="MS Mincho" w:hAnsi="Times New Roman"/>
      <w:lang w:val="en-US" w:eastAsia="en-US"/>
    </w:rPr>
    <w:tblPr/>
  </w:style>
  <w:style w:type="table" w:customStyle="1" w:styleId="TableGrid841">
    <w:name w:val="Table Grid84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古典型 251"/>
    <w:basedOn w:val="TableNormal"/>
    <w:unhideWhenUsed/>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1">
    <w:name w:val="Table Classic 215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1">
    <w:name w:val="Table Grid710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古典型 26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81">
    <w:name w:val="Table Grid181"/>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1">
    <w:name w:val="Table Classic 216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A40BD4"/>
    <w:rPr>
      <w:rFonts w:ascii="Times New Roman" w:hAnsi="Times New Roman"/>
      <w:lang w:val="en-US" w:eastAsia="en-US"/>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f">
    <w:name w:val="典雅型1"/>
    <w:basedOn w:val="TableNormal"/>
    <w:semiHidden/>
    <w:qFormat/>
    <w:rsid w:val="00A40BD4"/>
    <w:pPr>
      <w:spacing w:after="180" w:line="259" w:lineRule="auto"/>
    </w:pPr>
    <w:rPr>
      <w:rFonts w:ascii="Times New Roman"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1">
    <w:name w:val="Table Grid19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A40BD4"/>
    <w:rPr>
      <w:rFonts w:ascii="Times New Roman" w:eastAsia="MS Mincho" w:hAnsi="Times New Roman"/>
      <w:lang w:val="en-US" w:eastAsia="en-US"/>
    </w:rPr>
    <w:tblPr/>
  </w:style>
  <w:style w:type="table" w:customStyle="1" w:styleId="TableGrid581">
    <w:name w:val="Table Grid581"/>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1">
    <w:name w:val="Table Grid71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A40BD4"/>
    <w:rPr>
      <w:rFonts w:ascii="Times New Roman" w:eastAsia="MS Mincho" w:hAnsi="Times New Roman"/>
      <w:lang w:val="en-US" w:eastAsia="en-US"/>
    </w:rPr>
    <w:tblPr/>
  </w:style>
  <w:style w:type="table" w:customStyle="1" w:styleId="TableGrid5151">
    <w:name w:val="Table Grid51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1">
    <w:name w:val="Table Grid76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1">
    <w:name w:val="Table Grid95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1">
    <w:name w:val="Table Grid812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1">
    <w:name w:val="古典型 2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11">
    <w:name w:val="Table Classic 21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0">
    <w:name w:val="网格型22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A40BD4"/>
    <w:rPr>
      <w:rFonts w:ascii="Times New Roman" w:eastAsia="MS Mincho" w:hAnsi="Times New Roman"/>
      <w:lang w:val="en-US" w:eastAsia="en-US"/>
    </w:rPr>
    <w:tblPr/>
  </w:style>
  <w:style w:type="table" w:customStyle="1" w:styleId="Tabellengitternetz111211">
    <w:name w:val="Tabellengitternetz1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1">
    <w:name w:val="网格型7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1">
    <w:name w:val="Table Grid77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1">
    <w:name w:val="Table Grid2113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11">
    <w:name w:val="网格型311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网格型11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1">
    <w:name w:val="古典型 241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1">
    <w:name w:val="Table Grid26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
    <w:name w:val="网格型9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A40BD4"/>
    <w:rPr>
      <w:rFonts w:ascii="Times New Roman" w:eastAsia="MS Mincho" w:hAnsi="Times New Roman"/>
      <w:lang w:val="en-US" w:eastAsia="en-US"/>
    </w:rPr>
    <w:tblPr/>
  </w:style>
  <w:style w:type="table" w:customStyle="1" w:styleId="TableGrid591">
    <w:name w:val="Table Grid591"/>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A40BD4"/>
    <w:rPr>
      <w:rFonts w:ascii="Times New Roman" w:eastAsia="MS Mincho" w:hAnsi="Times New Roman"/>
      <w:lang w:val="en-US" w:eastAsia="en-US"/>
    </w:rPr>
    <w:tblPr/>
  </w:style>
  <w:style w:type="table" w:customStyle="1" w:styleId="TableGrid5161">
    <w:name w:val="Table Grid51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1">
    <w:name w:val="Table Grid76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1">
    <w:name w:val="Table Grid2291"/>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1">
    <w:name w:val="网格型31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1">
    <w:name w:val="Table Grid96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1">
    <w:name w:val="Table Grid813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
    <w:name w:val="古典型 2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
    <w:name w:val="Table Classic 21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2">
    <w:name w:val="Revision2"/>
    <w:hidden/>
    <w:uiPriority w:val="99"/>
    <w:semiHidden/>
    <w:qFormat/>
    <w:rsid w:val="00A40BD4"/>
    <w:rPr>
      <w:rFonts w:ascii="Times New Roman" w:hAnsi="Times New Roman"/>
      <w:lang w:eastAsia="en-US"/>
    </w:rPr>
  </w:style>
  <w:style w:type="character" w:customStyle="1" w:styleId="SubtleReference2">
    <w:name w:val="Subtle Reference2"/>
    <w:uiPriority w:val="31"/>
    <w:qFormat/>
    <w:rsid w:val="00A40BD4"/>
    <w:rPr>
      <w:smallCaps/>
      <w:color w:val="5A5A5A"/>
    </w:rPr>
  </w:style>
  <w:style w:type="paragraph" w:customStyle="1" w:styleId="TOCHeading2">
    <w:name w:val="TOC Heading2"/>
    <w:basedOn w:val="Heading1"/>
    <w:next w:val="Normal"/>
    <w:uiPriority w:val="39"/>
    <w:unhideWhenUsed/>
    <w:qFormat/>
    <w:rsid w:val="00A40BD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IntenseEmphasis3">
    <w:name w:val="Intense Emphasis3"/>
    <w:uiPriority w:val="21"/>
    <w:qFormat/>
    <w:rsid w:val="00A40BD4"/>
    <w:rPr>
      <w:b/>
      <w:bCs/>
      <w:i/>
      <w:iCs/>
      <w:color w:val="4F81BD"/>
    </w:rPr>
  </w:style>
  <w:style w:type="paragraph" w:customStyle="1" w:styleId="4a">
    <w:name w:val="修订4"/>
    <w:hidden/>
    <w:semiHidden/>
    <w:qFormat/>
    <w:rsid w:val="00A40BD4"/>
    <w:rPr>
      <w:rFonts w:ascii="Times New Roman" w:eastAsia="Batang" w:hAnsi="Times New Roman"/>
      <w:lang w:eastAsia="en-US"/>
    </w:rPr>
  </w:style>
  <w:style w:type="table" w:customStyle="1" w:styleId="Tabellenraster1">
    <w:name w:val="Tabellenraster1"/>
    <w:basedOn w:val="TableNormal"/>
    <w:qFormat/>
    <w:rsid w:val="00A40BD4"/>
    <w:rPr>
      <w:rFonts w:ascii="Times New Roma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qFormat/>
    <w:rsid w:val="00A40BD4"/>
    <w:rPr>
      <w:color w:val="605E5C"/>
      <w:shd w:val="clear" w:color="auto" w:fill="E1DFDD"/>
    </w:rPr>
  </w:style>
  <w:style w:type="table" w:customStyle="1" w:styleId="124">
    <w:name w:val="网格型 12"/>
    <w:basedOn w:val="TableNormal"/>
    <w:semiHidden/>
    <w:unhideWhenUsed/>
    <w:qFormat/>
    <w:rsid w:val="00A40BD4"/>
    <w:pPr>
      <w:spacing w:after="180"/>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32">
    <w:name w:val="网格型 13"/>
    <w:basedOn w:val="TableNormal"/>
    <w:qFormat/>
    <w:rsid w:val="00A40BD4"/>
    <w:pPr>
      <w:spacing w:after="180"/>
    </w:pPr>
    <w:rPr>
      <w:rFonts w:ascii="Times New Roman" w:hAnsi="Times New Roma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3">
    <w:name w:val="Table Grid78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3">
    <w:name w:val="Table Grid79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3">
    <w:name w:val="古典型 253"/>
    <w:basedOn w:val="TableNormal"/>
    <w:semiHidden/>
    <w:unhideWhenUsed/>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3">
    <w:name w:val="Table Classic 215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3">
    <w:name w:val="Table Grid710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3">
    <w:name w:val="古典型 263"/>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3">
    <w:name w:val="Table Classic 216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11BodyTextChar">
    <w:name w:val="11 BodyText Char"/>
    <w:aliases w:val="Block_Text Char,np Char,b Char"/>
    <w:link w:val="11BodyText"/>
    <w:uiPriority w:val="99"/>
    <w:qFormat/>
    <w:locked/>
    <w:rsid w:val="00A40BD4"/>
    <w:rPr>
      <w:rFonts w:ascii="Arial" w:hAnsi="Arial"/>
      <w:lang w:val="en-US"/>
    </w:rPr>
  </w:style>
  <w:style w:type="paragraph" w:customStyle="1" w:styleId="CharCharCharCharCharCharCharCharCharChar2CharCharCharChar">
    <w:name w:val="Char Char Char Char Char Char Char Char Char Char2 Char Char Char Char"/>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A40BD4"/>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odytext4">
    <w:name w:val="bodytext4"/>
    <w:basedOn w:val="BodyText"/>
    <w:qFormat/>
    <w:rsid w:val="00A40BD4"/>
    <w:pPr>
      <w:numPr>
        <w:numId w:val="22"/>
      </w:numPr>
      <w:tabs>
        <w:tab w:val="clear" w:pos="2160"/>
        <w:tab w:val="left" w:pos="397"/>
        <w:tab w:val="left" w:pos="794"/>
        <w:tab w:val="left" w:pos="1191"/>
        <w:tab w:val="left" w:pos="1588"/>
        <w:tab w:val="left" w:pos="1985"/>
      </w:tabs>
      <w:spacing w:before="240" w:after="0"/>
      <w:ind w:left="3238" w:firstLine="0"/>
      <w:textAlignment w:val="auto"/>
    </w:pPr>
    <w:rPr>
      <w:rFonts w:eastAsia="SimSun" w:hint="eastAsia"/>
      <w:sz w:val="24"/>
      <w:lang w:eastAsia="en-US"/>
    </w:rPr>
  </w:style>
  <w:style w:type="paragraph" w:customStyle="1" w:styleId="a1">
    <w:name w:val="参考文献"/>
    <w:basedOn w:val="Normal"/>
    <w:qFormat/>
    <w:rsid w:val="00A40BD4"/>
    <w:pPr>
      <w:keepLines/>
      <w:numPr>
        <w:numId w:val="23"/>
      </w:numPr>
      <w:overflowPunct/>
      <w:autoSpaceDE/>
      <w:adjustRightInd/>
      <w:spacing w:after="0"/>
      <w:textAlignment w:val="auto"/>
    </w:pPr>
    <w:rPr>
      <w:rFonts w:eastAsia="MS Mincho"/>
      <w:lang w:eastAsia="en-US"/>
    </w:rPr>
  </w:style>
  <w:style w:type="character" w:customStyle="1" w:styleId="3GPPChar">
    <w:name w:val="3GPP 正文 Char"/>
    <w:link w:val="3GPP"/>
    <w:qFormat/>
    <w:locked/>
    <w:rsid w:val="00A40BD4"/>
    <w:rPr>
      <w:rFonts w:ascii="Times New Roman" w:hAnsi="Times New Roman"/>
      <w:lang w:eastAsia="ja-JP"/>
    </w:rPr>
  </w:style>
  <w:style w:type="paragraph" w:customStyle="1" w:styleId="3GPP">
    <w:name w:val="3GPP 正文"/>
    <w:basedOn w:val="Normal"/>
    <w:link w:val="3GPPChar"/>
    <w:qFormat/>
    <w:rsid w:val="00A40BD4"/>
    <w:pPr>
      <w:overflowPunct/>
      <w:autoSpaceDE/>
      <w:adjustRightInd/>
      <w:textAlignment w:val="auto"/>
    </w:pPr>
    <w:rPr>
      <w:rFonts w:eastAsia="SimSun"/>
      <w:lang w:eastAsia="ja-JP"/>
    </w:rPr>
  </w:style>
  <w:style w:type="paragraph" w:customStyle="1" w:styleId="00BodyText">
    <w:name w:val="00 BodyText"/>
    <w:basedOn w:val="Normal"/>
    <w:qFormat/>
    <w:rsid w:val="00A40BD4"/>
    <w:pPr>
      <w:overflowPunct/>
      <w:autoSpaceDE/>
      <w:adjustRightInd/>
      <w:spacing w:after="220"/>
      <w:textAlignment w:val="auto"/>
    </w:pPr>
    <w:rPr>
      <w:rFonts w:ascii="Arial" w:eastAsia="Malgun Gothic" w:hAnsi="Arial"/>
      <w:sz w:val="22"/>
      <w:lang w:val="en-US" w:eastAsia="en-US"/>
    </w:rPr>
  </w:style>
  <w:style w:type="paragraph" w:customStyle="1" w:styleId="ad">
    <w:name w:val="??"/>
    <w:qFormat/>
    <w:rsid w:val="00A40BD4"/>
    <w:pPr>
      <w:widowControl w:val="0"/>
      <w:autoSpaceDN w:val="0"/>
    </w:pPr>
    <w:rPr>
      <w:rFonts w:ascii="Times New Roman" w:eastAsia="Malgun Gothic" w:hAnsi="Times New Roman"/>
      <w:lang w:val="en-US" w:eastAsia="en-US"/>
    </w:rPr>
  </w:style>
  <w:style w:type="paragraph" w:customStyle="1" w:styleId="2a">
    <w:name w:val="??? 2"/>
    <w:basedOn w:val="ad"/>
    <w:next w:val="ad"/>
    <w:qFormat/>
    <w:rsid w:val="00A40BD4"/>
    <w:pPr>
      <w:keepNext/>
    </w:pPr>
    <w:rPr>
      <w:rFonts w:ascii="Arial" w:hAnsi="Arial"/>
      <w:b/>
      <w:sz w:val="24"/>
    </w:rPr>
  </w:style>
  <w:style w:type="paragraph" w:customStyle="1" w:styleId="Norma">
    <w:name w:val="Norma"/>
    <w:basedOn w:val="Heading1"/>
    <w:qFormat/>
    <w:rsid w:val="00A40BD4"/>
    <w:pPr>
      <w:textAlignment w:val="auto"/>
    </w:pPr>
    <w:rPr>
      <w:rFonts w:eastAsia="Malgun Gothic"/>
      <w:szCs w:val="36"/>
      <w:lang w:eastAsia="sv-SE"/>
    </w:rPr>
  </w:style>
  <w:style w:type="paragraph" w:customStyle="1" w:styleId="body">
    <w:name w:val="body"/>
    <w:basedOn w:val="Normal"/>
    <w:qFormat/>
    <w:rsid w:val="00A40BD4"/>
    <w:pPr>
      <w:tabs>
        <w:tab w:val="left" w:pos="2160"/>
      </w:tabs>
      <w:spacing w:before="120" w:after="120" w:line="280" w:lineRule="atLeast"/>
      <w:jc w:val="both"/>
      <w:textAlignment w:val="auto"/>
    </w:pPr>
    <w:rPr>
      <w:rFonts w:ascii="New York" w:eastAsia="Malgun Gothic" w:hAnsi="New York"/>
      <w:sz w:val="24"/>
      <w:lang w:val="en-US" w:eastAsia="en-US"/>
    </w:rPr>
  </w:style>
  <w:style w:type="paragraph" w:customStyle="1" w:styleId="AL">
    <w:name w:val="AL"/>
    <w:basedOn w:val="TAL"/>
    <w:qFormat/>
    <w:rsid w:val="00A40BD4"/>
    <w:pPr>
      <w:textAlignment w:val="auto"/>
    </w:pPr>
    <w:rPr>
      <w:rFonts w:eastAsia="Malgun Gothic" w:cs="Arial"/>
      <w:szCs w:val="18"/>
      <w:lang w:eastAsia="en-US"/>
    </w:rPr>
  </w:style>
  <w:style w:type="paragraph" w:customStyle="1" w:styleId="Normal1">
    <w:name w:val="Normal 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odyBestChar">
    <w:name w:val="BodyBest Char"/>
    <w:link w:val="BodyBest"/>
    <w:qFormat/>
    <w:locked/>
    <w:rsid w:val="00A40BD4"/>
    <w:rPr>
      <w:rFonts w:ascii="Arial" w:eastAsia="MS Mincho" w:hAnsi="Arial" w:cs="Arial"/>
    </w:rPr>
  </w:style>
  <w:style w:type="paragraph" w:customStyle="1" w:styleId="BodyBest">
    <w:name w:val="BodyBest"/>
    <w:basedOn w:val="Normal"/>
    <w:link w:val="BodyBestChar"/>
    <w:qFormat/>
    <w:rsid w:val="00A40BD4"/>
    <w:pPr>
      <w:overflowPunct/>
      <w:autoSpaceDE/>
      <w:adjustRightInd/>
      <w:spacing w:before="240" w:after="0"/>
      <w:ind w:left="540"/>
      <w:jc w:val="both"/>
      <w:textAlignment w:val="auto"/>
    </w:pPr>
    <w:rPr>
      <w:rFonts w:ascii="Arial" w:eastAsia="MS Mincho" w:hAnsi="Arial" w:cs="Arial"/>
    </w:rPr>
  </w:style>
  <w:style w:type="paragraph" w:customStyle="1" w:styleId="3GPPHeader">
    <w:name w:val="3GPP_Header"/>
    <w:basedOn w:val="Normal"/>
    <w:qFormat/>
    <w:rsid w:val="00A40BD4"/>
    <w:pPr>
      <w:tabs>
        <w:tab w:val="left" w:pos="1701"/>
        <w:tab w:val="right" w:pos="9639"/>
      </w:tabs>
      <w:spacing w:after="240"/>
      <w:jc w:val="both"/>
      <w:textAlignment w:val="auto"/>
    </w:pPr>
    <w:rPr>
      <w:rFonts w:ascii="Arial" w:eastAsia="Malgun Gothic" w:hAnsi="Arial"/>
      <w:b/>
      <w:sz w:val="24"/>
      <w:lang w:eastAsia="zh-CN"/>
    </w:rPr>
  </w:style>
  <w:style w:type="character" w:customStyle="1" w:styleId="IvDInstructiontextChar">
    <w:name w:val="IvD Instructiontext Char"/>
    <w:link w:val="IvDInstructiontext"/>
    <w:uiPriority w:val="99"/>
    <w:qFormat/>
    <w:locked/>
    <w:rsid w:val="00A40BD4"/>
    <w:rPr>
      <w:rFonts w:ascii="Arial" w:eastAsia="Malgun Gothic" w:hAnsi="Arial" w:cs="Arial"/>
      <w:i/>
      <w:color w:val="7F7F7F"/>
      <w:spacing w:val="2"/>
      <w:sz w:val="18"/>
      <w:szCs w:val="18"/>
    </w:rPr>
  </w:style>
  <w:style w:type="paragraph" w:customStyle="1" w:styleId="IvDInstructiontext">
    <w:name w:val="IvD Instructiontext"/>
    <w:basedOn w:val="BodyText"/>
    <w:link w:val="IvDInstructiontextChar"/>
    <w:uiPriority w:val="99"/>
    <w:qFormat/>
    <w:rsid w:val="00A40BD4"/>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i/>
      <w:color w:val="7F7F7F"/>
      <w:spacing w:val="2"/>
      <w:sz w:val="18"/>
      <w:szCs w:val="18"/>
      <w:lang w:eastAsia="en-GB"/>
    </w:rPr>
  </w:style>
  <w:style w:type="character" w:customStyle="1" w:styleId="IvDbodytextChar">
    <w:name w:val="IvD bodytext Char"/>
    <w:link w:val="IvDbodytext"/>
    <w:qFormat/>
    <w:locked/>
    <w:rsid w:val="00A40BD4"/>
    <w:rPr>
      <w:rFonts w:ascii="Arial" w:eastAsia="Malgun Gothic" w:hAnsi="Arial" w:cs="Arial"/>
      <w:spacing w:val="2"/>
    </w:rPr>
  </w:style>
  <w:style w:type="paragraph" w:customStyle="1" w:styleId="IvDbodytext">
    <w:name w:val="IvD bodytext"/>
    <w:basedOn w:val="BodyText"/>
    <w:link w:val="IvDbodytextChar"/>
    <w:qFormat/>
    <w:rsid w:val="00A40BD4"/>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eastAsia="en-GB"/>
    </w:rPr>
  </w:style>
  <w:style w:type="paragraph" w:customStyle="1" w:styleId="AC0">
    <w:name w:val="AC"/>
    <w:basedOn w:val="Normal"/>
    <w:qFormat/>
    <w:rsid w:val="00A40BD4"/>
    <w:pPr>
      <w:widowControl w:val="0"/>
      <w:jc w:val="center"/>
      <w:textAlignment w:val="auto"/>
    </w:pPr>
    <w:rPr>
      <w:rFonts w:ascii="Arial" w:eastAsia="Malgun Gothic" w:hAnsi="Arial"/>
      <w:b/>
      <w:sz w:val="18"/>
      <w:lang w:eastAsia="ko-KR"/>
    </w:rPr>
  </w:style>
  <w:style w:type="character" w:customStyle="1" w:styleId="B12">
    <w:name w:val="B1 (文字)"/>
    <w:qFormat/>
    <w:rsid w:val="00A40BD4"/>
    <w:rPr>
      <w:lang w:val="en-GB" w:eastAsia="ja-JP" w:bidi="ar-SA"/>
    </w:rPr>
  </w:style>
  <w:style w:type="character" w:customStyle="1" w:styleId="tgc">
    <w:name w:val="_tgc"/>
    <w:qFormat/>
    <w:rsid w:val="00A40BD4"/>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qFormat/>
    <w:rsid w:val="00A40BD4"/>
    <w:rPr>
      <w:rFonts w:ascii="Arial" w:hAnsi="Arial" w:cs="Arial" w:hint="default"/>
      <w:sz w:val="28"/>
      <w:lang w:val="en-GB" w:eastAsia="en-US"/>
    </w:rPr>
  </w:style>
  <w:style w:type="table" w:customStyle="1" w:styleId="TableClassic23">
    <w:name w:val="Table Classic 23"/>
    <w:basedOn w:val="TableNormal"/>
    <w:semiHidden/>
    <w:qFormat/>
    <w:rsid w:val="00A40BD4"/>
    <w:pPr>
      <w:spacing w:after="180"/>
    </w:pPr>
    <w:rPr>
      <w:rFonts w:ascii="Times New Roman" w:hAnsi="Times New Roman"/>
      <w:lang w:val="fr-FR"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1">
    <w:name w:val="网格型1121"/>
    <w:basedOn w:val="TableNormal"/>
    <w:qFormat/>
    <w:rsid w:val="00A40BD4"/>
    <w:rPr>
      <w:rFonts w:ascii="Times New Roman" w:hAnsi="Times New Roman"/>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A40BD4"/>
    <w:rPr>
      <w:color w:val="605E5C"/>
      <w:shd w:val="clear" w:color="auto" w:fill="E1DFDD"/>
    </w:rPr>
  </w:style>
  <w:style w:type="character" w:styleId="SubtleReference">
    <w:name w:val="Subtle Reference"/>
    <w:uiPriority w:val="31"/>
    <w:qFormat/>
    <w:rsid w:val="00A40BD4"/>
    <w:rPr>
      <w:smallCaps/>
      <w:color w:val="5A5A5A"/>
    </w:rPr>
  </w:style>
  <w:style w:type="paragraph" w:styleId="TOCHeading">
    <w:name w:val="TOC Heading"/>
    <w:basedOn w:val="Heading1"/>
    <w:next w:val="Normal"/>
    <w:uiPriority w:val="39"/>
    <w:unhideWhenUsed/>
    <w:qFormat/>
    <w:rsid w:val="00A40BD4"/>
    <w:pPr>
      <w:pBdr>
        <w:top w:val="none" w:sz="0" w:space="0" w:color="auto"/>
      </w:pBdr>
      <w:spacing w:after="0" w:line="259" w:lineRule="auto"/>
      <w:ind w:left="0" w:firstLine="0"/>
      <w:outlineLvl w:val="9"/>
    </w:pPr>
    <w:rPr>
      <w:rFonts w:ascii="Calibri Light" w:eastAsia="MS Mincho" w:hAnsi="Calibri Light"/>
      <w:color w:val="2F5496"/>
      <w:sz w:val="32"/>
      <w:szCs w:val="32"/>
      <w:lang w:val="en-US"/>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A40BD4"/>
    <w:rPr>
      <w:b/>
      <w:lang w:val="en-GB" w:eastAsia="en-GB" w:bidi="ar-SA"/>
    </w:rPr>
  </w:style>
  <w:style w:type="paragraph" w:customStyle="1" w:styleId="ae">
    <w:name w:val="修订"/>
    <w:hidden/>
    <w:semiHidden/>
    <w:qFormat/>
    <w:rsid w:val="00A40BD4"/>
    <w:rPr>
      <w:rFonts w:ascii="Times New Roman" w:eastAsia="Batang" w:hAnsi="Times New Roman"/>
      <w:lang w:eastAsia="en-US"/>
    </w:rPr>
  </w:style>
  <w:style w:type="character" w:styleId="IntenseEmphasis">
    <w:name w:val="Intense Emphasis"/>
    <w:uiPriority w:val="21"/>
    <w:qFormat/>
    <w:rsid w:val="00A40BD4"/>
    <w:rPr>
      <w:b/>
      <w:bCs/>
      <w:i/>
      <w:iCs/>
      <w:color w:val="4F81BD"/>
    </w:rPr>
  </w:style>
  <w:style w:type="numbering" w:customStyle="1" w:styleId="LFO19">
    <w:name w:val="LFO19"/>
    <w:basedOn w:val="NoList"/>
    <w:rsid w:val="00A40BD4"/>
    <w:pPr>
      <w:numPr>
        <w:numId w:val="17"/>
      </w:numPr>
    </w:pPr>
  </w:style>
  <w:style w:type="paragraph" w:customStyle="1" w:styleId="h7">
    <w:name w:val="h7"/>
    <w:basedOn w:val="H6"/>
    <w:rsid w:val="00A40BD4"/>
  </w:style>
  <w:style w:type="paragraph" w:customStyle="1" w:styleId="Header7">
    <w:name w:val="Header 7"/>
    <w:basedOn w:val="H6"/>
    <w:rsid w:val="00A40BD4"/>
  </w:style>
  <w:style w:type="table" w:customStyle="1" w:styleId="TableGrid20">
    <w:name w:val="Table Grid20"/>
    <w:basedOn w:val="TableNormal"/>
    <w:next w:val="TableGrid"/>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2">
    <w:name w:val="Table Grid542"/>
    <w:basedOn w:val="TableNormal"/>
    <w:uiPriority w:val="39"/>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网格型13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A40BD4"/>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1">
    <w:name w:val="Table Grid701"/>
    <w:basedOn w:val="TableNormal"/>
    <w:next w:val="TableGrid"/>
    <w:qFormat/>
    <w:rsid w:val="00A40BD4"/>
    <w:rPr>
      <w:rFonts w:ascii="Times New Roman" w:eastAsiaTheme="minorEastAsia"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A40BD4"/>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4">
    <w:name w:val="Table Grid2244"/>
    <w:basedOn w:val="TableNormal"/>
    <w:next w:val="TableGrid"/>
    <w:qFormat/>
    <w:rsid w:val="00A40BD4"/>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40">
    <w:name w:val="古典型 2114"/>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0">
    <w:name w:val="目录 91"/>
    <w:basedOn w:val="TOC8"/>
    <w:rsid w:val="00A40BD4"/>
    <w:pPr>
      <w:ind w:left="1418" w:hanging="1418"/>
    </w:pPr>
    <w:rPr>
      <w:rFonts w:ascii="Intel Clear" w:eastAsia="Intel Clear" w:hAnsi="Intel Clear" w:cs="Intel Clear"/>
      <w:bCs/>
      <w:szCs w:val="22"/>
      <w:lang w:val="en-US"/>
    </w:rPr>
  </w:style>
  <w:style w:type="paragraph" w:customStyle="1" w:styleId="1f0">
    <w:name w:val="题注1"/>
    <w:basedOn w:val="Normal"/>
    <w:next w:val="Normal"/>
    <w:rsid w:val="00A40BD4"/>
    <w:pPr>
      <w:spacing w:before="120" w:after="120"/>
    </w:pPr>
    <w:rPr>
      <w:rFonts w:ascii="Intel Clear" w:eastAsia="Intel Clear" w:hAnsi="Intel Clear" w:cs="Intel Clear"/>
      <w:b/>
    </w:rPr>
  </w:style>
  <w:style w:type="paragraph" w:customStyle="1" w:styleId="1f1">
    <w:name w:val="图表目录1"/>
    <w:basedOn w:val="Normal"/>
    <w:next w:val="Normal"/>
    <w:rsid w:val="00A40BD4"/>
    <w:pPr>
      <w:ind w:left="400" w:hanging="400"/>
      <w:jc w:val="center"/>
    </w:pPr>
    <w:rPr>
      <w:rFonts w:ascii="Intel Clear" w:eastAsia="Intel Clear" w:hAnsi="Intel Clear" w:cs="Intel Clear"/>
      <w:b/>
    </w:rPr>
  </w:style>
  <w:style w:type="paragraph" w:customStyle="1" w:styleId="CharCharCharCharChar5">
    <w:name w:val="Char Char Char Char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6">
    <w:name w:val="Char Char16"/>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5">
    <w:name w:val="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5">
    <w:name w:val="Char Char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15">
    <w:name w:val="Char Char15"/>
    <w:rsid w:val="00A40BD4"/>
    <w:rPr>
      <w:lang w:val="en-GB" w:eastAsia="ja-JP" w:bidi="ar-SA"/>
    </w:rPr>
  </w:style>
  <w:style w:type="paragraph" w:customStyle="1" w:styleId="1Char5">
    <w:name w:val="(文字) (文字)1 Char (文字) (文字)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CharChar5">
    <w:name w:val="Char Char1 Char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5">
    <w:name w:val="(文字) (文字)1 Char (文字) (文字) Char (文字) (文字)1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5">
    <w:name w:val="(文字) (文字)1 Char (文字) (文字)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Char15">
    <w:name w:val="Char Char Char Char1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2CharChar5">
    <w:name w:val="Char Char2 Char Char5"/>
    <w:basedOn w:val="Normal"/>
    <w:rsid w:val="00A40BD4"/>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A40BD4"/>
    <w:rPr>
      <w:rFonts w:ascii="Calibri Light" w:hAnsi="Calibri Light"/>
      <w:lang w:val="nb-NO" w:eastAsia="ja-JP" w:bidi="ar-SA"/>
    </w:rPr>
  </w:style>
  <w:style w:type="paragraph" w:customStyle="1" w:styleId="CharCharCharCharCharChar5">
    <w:name w:val="Char Char Char Char Char Char5"/>
    <w:semiHidden/>
    <w:rsid w:val="00A40BD4"/>
    <w:pPr>
      <w:keepNext/>
      <w:autoSpaceDE w:val="0"/>
      <w:autoSpaceDN w:val="0"/>
      <w:adjustRightInd w:val="0"/>
      <w:spacing w:before="60" w:after="60"/>
      <w:ind w:left="567" w:hanging="283"/>
      <w:jc w:val="both"/>
    </w:pPr>
    <w:rPr>
      <w:rFonts w:ascii="Intel Clear" w:hAnsi="Intel Clear" w:cs="Intel Clear"/>
      <w:color w:val="0000FF"/>
      <w:kern w:val="2"/>
      <w:lang w:val="en-US" w:eastAsia="zh-CN"/>
    </w:rPr>
  </w:style>
  <w:style w:type="paragraph" w:customStyle="1" w:styleId="90">
    <w:name w:val="(文字) (文字)9"/>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arCar5">
    <w:name w:val="Car C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15">
    <w:name w:val="Zchn Zchn1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254">
    <w:name w:val="(文字) (文字)2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350">
    <w:name w:val="(文字) (文字)3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25">
    <w:name w:val="Zchn Zchn2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450">
    <w:name w:val="(文字) (文字)4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52">
    <w:name w:val="(文字) (文字)1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75">
    <w:name w:val="Char Char75"/>
    <w:semiHidden/>
    <w:rsid w:val="00A40BD4"/>
    <w:rPr>
      <w:rFonts w:ascii="Intel Clear" w:hAnsi="Intel Clear" w:cs="Intel Clear"/>
      <w:shd w:val="clear" w:color="auto" w:fill="000080"/>
      <w:lang w:val="en-GB" w:eastAsia="en-US"/>
    </w:rPr>
  </w:style>
  <w:style w:type="character" w:customStyle="1" w:styleId="ZchnZchn55">
    <w:name w:val="Zchn Zchn55"/>
    <w:rsid w:val="00A40BD4"/>
    <w:rPr>
      <w:rFonts w:ascii="Calibri Light" w:eastAsia="Calibri Light" w:hAnsi="Calibri Light"/>
      <w:lang w:val="nb-NO" w:eastAsia="en-US" w:bidi="ar-SA"/>
    </w:rPr>
  </w:style>
  <w:style w:type="character" w:customStyle="1" w:styleId="CharChar105">
    <w:name w:val="Char Char105"/>
    <w:semiHidden/>
    <w:rsid w:val="00A40BD4"/>
    <w:rPr>
      <w:rFonts w:ascii="Intel Clear" w:hAnsi="Intel Clear"/>
      <w:lang w:val="en-GB" w:eastAsia="en-US"/>
    </w:rPr>
  </w:style>
  <w:style w:type="character" w:customStyle="1" w:styleId="CharChar95">
    <w:name w:val="Char Char95"/>
    <w:semiHidden/>
    <w:rsid w:val="00A40BD4"/>
    <w:rPr>
      <w:rFonts w:ascii="Intel Clear" w:hAnsi="Intel Clear" w:cs="Intel Clear"/>
      <w:sz w:val="16"/>
      <w:szCs w:val="16"/>
      <w:lang w:val="en-GB" w:eastAsia="en-US"/>
    </w:rPr>
  </w:style>
  <w:style w:type="character" w:customStyle="1" w:styleId="CharChar85">
    <w:name w:val="Char Char85"/>
    <w:semiHidden/>
    <w:rsid w:val="00A40BD4"/>
    <w:rPr>
      <w:rFonts w:ascii="Intel Clear" w:hAnsi="Intel Clear"/>
      <w:b/>
      <w:bCs/>
      <w:lang w:val="en-GB" w:eastAsia="en-US"/>
    </w:rPr>
  </w:style>
  <w:style w:type="paragraph" w:customStyle="1" w:styleId="1CharChar1Char5">
    <w:name w:val="(文字) (文字)1 Char (文字) (文字) Char (文字) (文字)1 Char (文字) (文字)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8">
    <w:name w:val="Zchn Zchn8"/>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2">
    <w:name w:val="目录 92"/>
    <w:basedOn w:val="TOC8"/>
    <w:rsid w:val="00A40BD4"/>
    <w:pPr>
      <w:ind w:left="1418" w:hanging="1418"/>
    </w:pPr>
    <w:rPr>
      <w:rFonts w:ascii="Intel Clear" w:eastAsia="Intel Clear" w:hAnsi="Intel Clear" w:cs="Intel Clear"/>
    </w:rPr>
  </w:style>
  <w:style w:type="paragraph" w:customStyle="1" w:styleId="2b">
    <w:name w:val="题注2"/>
    <w:basedOn w:val="Normal"/>
    <w:next w:val="Normal"/>
    <w:rsid w:val="00A40BD4"/>
    <w:pPr>
      <w:spacing w:before="120" w:after="120"/>
    </w:pPr>
    <w:rPr>
      <w:rFonts w:ascii="Intel Clear" w:eastAsia="Intel Clear" w:hAnsi="Intel Clear" w:cs="Intel Clear"/>
      <w:b/>
    </w:rPr>
  </w:style>
  <w:style w:type="paragraph" w:customStyle="1" w:styleId="2c">
    <w:name w:val="图表目录2"/>
    <w:basedOn w:val="Normal"/>
    <w:next w:val="Normal"/>
    <w:rsid w:val="00A40BD4"/>
    <w:pPr>
      <w:ind w:left="400" w:hanging="400"/>
      <w:jc w:val="center"/>
    </w:pPr>
    <w:rPr>
      <w:rFonts w:ascii="Intel Clear" w:eastAsia="Intel Clear" w:hAnsi="Intel Clear" w:cs="Intel Clear"/>
      <w:b/>
    </w:rPr>
  </w:style>
  <w:style w:type="character" w:customStyle="1" w:styleId="CharChar295">
    <w:name w:val="Char Char295"/>
    <w:rsid w:val="00A40BD4"/>
    <w:rPr>
      <w:rFonts w:ascii="Intel Clear" w:hAnsi="Intel Clear"/>
      <w:sz w:val="36"/>
      <w:lang w:val="en-GB" w:eastAsia="en-US" w:bidi="ar-SA"/>
    </w:rPr>
  </w:style>
  <w:style w:type="character" w:customStyle="1" w:styleId="CharChar285">
    <w:name w:val="Char Char285"/>
    <w:rsid w:val="00A40BD4"/>
    <w:rPr>
      <w:rFonts w:ascii="Intel Clear" w:hAnsi="Intel Clear"/>
      <w:sz w:val="32"/>
      <w:lang w:val="en-GB"/>
    </w:rPr>
  </w:style>
  <w:style w:type="paragraph" w:customStyle="1" w:styleId="CharCharCharCharChar4">
    <w:name w:val="Char Char Char Char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4">
    <w:name w:val="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4">
    <w:name w:val="Char Char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14">
    <w:name w:val="Char Char14"/>
    <w:rsid w:val="00A40BD4"/>
    <w:rPr>
      <w:lang w:val="en-GB" w:eastAsia="ja-JP" w:bidi="ar-SA"/>
    </w:rPr>
  </w:style>
  <w:style w:type="paragraph" w:customStyle="1" w:styleId="1Char4">
    <w:name w:val="(文字) (文字)1 Char (文字) (文字)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CharChar4">
    <w:name w:val="Char Char1 Char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4">
    <w:name w:val="(文字) (文字)1 Char (文字) (文字) Char (文字) (文字)1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4">
    <w:name w:val="(文字) (文字)1 Char (文字) (文字)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Char14">
    <w:name w:val="Char Char Char Char1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2CharChar4">
    <w:name w:val="Char Char2 Char Char4"/>
    <w:basedOn w:val="Normal"/>
    <w:rsid w:val="00A40BD4"/>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4">
    <w:name w:val="Char Char44"/>
    <w:rsid w:val="00A40BD4"/>
    <w:rPr>
      <w:rFonts w:ascii="Calibri Light" w:hAnsi="Calibri Light"/>
      <w:lang w:val="nb-NO" w:eastAsia="ja-JP" w:bidi="ar-SA"/>
    </w:rPr>
  </w:style>
  <w:style w:type="paragraph" w:customStyle="1" w:styleId="CharCharCharCharCharChar4">
    <w:name w:val="Char Char Char Char Char Char4"/>
    <w:semiHidden/>
    <w:rsid w:val="00A40BD4"/>
    <w:pPr>
      <w:keepNext/>
      <w:autoSpaceDE w:val="0"/>
      <w:autoSpaceDN w:val="0"/>
      <w:adjustRightInd w:val="0"/>
      <w:spacing w:before="60" w:after="60"/>
      <w:ind w:left="567" w:hanging="283"/>
      <w:jc w:val="both"/>
    </w:pPr>
    <w:rPr>
      <w:rFonts w:ascii="Intel Clear" w:hAnsi="Intel Clear" w:cs="Intel Clear"/>
      <w:color w:val="0000FF"/>
      <w:kern w:val="2"/>
      <w:lang w:val="en-US" w:eastAsia="zh-CN"/>
    </w:rPr>
  </w:style>
  <w:style w:type="paragraph" w:customStyle="1" w:styleId="80">
    <w:name w:val="(文字) (文字)8"/>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arCar4">
    <w:name w:val="Car C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14">
    <w:name w:val="Zchn Zchn1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244">
    <w:name w:val="(文字) (文字)2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340">
    <w:name w:val="(文字) (文字)3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24">
    <w:name w:val="Zchn Zchn2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440">
    <w:name w:val="(文字) (文字)4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43">
    <w:name w:val="(文字) (文字)1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74">
    <w:name w:val="Char Char74"/>
    <w:semiHidden/>
    <w:rsid w:val="00A40BD4"/>
    <w:rPr>
      <w:rFonts w:ascii="Intel Clear" w:hAnsi="Intel Clear" w:cs="Intel Clear"/>
      <w:shd w:val="clear" w:color="auto" w:fill="000080"/>
      <w:lang w:val="en-GB" w:eastAsia="en-US"/>
    </w:rPr>
  </w:style>
  <w:style w:type="character" w:customStyle="1" w:styleId="ZchnZchn54">
    <w:name w:val="Zchn Zchn54"/>
    <w:rsid w:val="00A40BD4"/>
    <w:rPr>
      <w:rFonts w:ascii="Calibri Light" w:eastAsia="Calibri Light" w:hAnsi="Calibri Light"/>
      <w:lang w:val="nb-NO" w:eastAsia="en-US" w:bidi="ar-SA"/>
    </w:rPr>
  </w:style>
  <w:style w:type="character" w:customStyle="1" w:styleId="CharChar104">
    <w:name w:val="Char Char104"/>
    <w:semiHidden/>
    <w:rsid w:val="00A40BD4"/>
    <w:rPr>
      <w:rFonts w:ascii="Intel Clear" w:hAnsi="Intel Clear"/>
      <w:lang w:val="en-GB" w:eastAsia="en-US"/>
    </w:rPr>
  </w:style>
  <w:style w:type="character" w:customStyle="1" w:styleId="CharChar94">
    <w:name w:val="Char Char94"/>
    <w:semiHidden/>
    <w:rsid w:val="00A40BD4"/>
    <w:rPr>
      <w:rFonts w:ascii="Intel Clear" w:hAnsi="Intel Clear" w:cs="Intel Clear"/>
      <w:sz w:val="16"/>
      <w:szCs w:val="16"/>
      <w:lang w:val="en-GB" w:eastAsia="en-US"/>
    </w:rPr>
  </w:style>
  <w:style w:type="character" w:customStyle="1" w:styleId="CharChar84">
    <w:name w:val="Char Char84"/>
    <w:semiHidden/>
    <w:rsid w:val="00A40BD4"/>
    <w:rPr>
      <w:rFonts w:ascii="Intel Clear" w:hAnsi="Intel Clear"/>
      <w:b/>
      <w:bCs/>
      <w:lang w:val="en-GB" w:eastAsia="en-US"/>
    </w:rPr>
  </w:style>
  <w:style w:type="paragraph" w:customStyle="1" w:styleId="1CharChar1Char4">
    <w:name w:val="(文字) (文字)1 Char (文字) (文字) Char (文字) (文字)1 Char (文字) (文字)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7">
    <w:name w:val="Zchn Zchn7"/>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3">
    <w:name w:val="目录 93"/>
    <w:basedOn w:val="TOC8"/>
    <w:rsid w:val="00A40BD4"/>
    <w:pPr>
      <w:ind w:left="1418" w:hanging="1418"/>
    </w:pPr>
    <w:rPr>
      <w:rFonts w:ascii="Intel Clear" w:eastAsia="Intel Clear" w:hAnsi="Intel Clear" w:cs="Intel Clear"/>
      <w:lang w:val="en-US"/>
    </w:rPr>
  </w:style>
  <w:style w:type="paragraph" w:customStyle="1" w:styleId="3a">
    <w:name w:val="题注3"/>
    <w:basedOn w:val="Normal"/>
    <w:next w:val="Normal"/>
    <w:rsid w:val="00A40BD4"/>
    <w:pPr>
      <w:spacing w:before="120" w:after="120"/>
    </w:pPr>
    <w:rPr>
      <w:rFonts w:ascii="Intel Clear" w:eastAsia="Intel Clear" w:hAnsi="Intel Clear" w:cs="Intel Clear"/>
      <w:b/>
    </w:rPr>
  </w:style>
  <w:style w:type="paragraph" w:customStyle="1" w:styleId="3b">
    <w:name w:val="图表目录3"/>
    <w:basedOn w:val="Normal"/>
    <w:next w:val="Normal"/>
    <w:rsid w:val="00A40BD4"/>
    <w:pPr>
      <w:ind w:left="400" w:hanging="400"/>
      <w:jc w:val="center"/>
    </w:pPr>
    <w:rPr>
      <w:rFonts w:ascii="Intel Clear" w:eastAsia="Intel Clear" w:hAnsi="Intel Clear" w:cs="Intel Clear"/>
      <w:b/>
    </w:rPr>
  </w:style>
  <w:style w:type="character" w:customStyle="1" w:styleId="CharChar294">
    <w:name w:val="Char Char294"/>
    <w:rsid w:val="00A40BD4"/>
    <w:rPr>
      <w:rFonts w:ascii="Intel Clear" w:hAnsi="Intel Clear"/>
      <w:sz w:val="36"/>
      <w:lang w:val="en-GB" w:eastAsia="en-US" w:bidi="ar-SA"/>
    </w:rPr>
  </w:style>
  <w:style w:type="character" w:customStyle="1" w:styleId="CharChar284">
    <w:name w:val="Char Char284"/>
    <w:rsid w:val="00A40BD4"/>
    <w:rPr>
      <w:rFonts w:ascii="Intel Clear" w:hAnsi="Intel Clear"/>
      <w:sz w:val="32"/>
      <w:lang w:val="en-GB"/>
    </w:rPr>
  </w:style>
  <w:style w:type="paragraph" w:customStyle="1" w:styleId="CharCharCharCharChar3">
    <w:name w:val="Char Char Char Char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30">
    <w:name w:val="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3">
    <w:name w:val="Char Char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3">
    <w:name w:val="(文字) (文字)1 Char (文字) (文字)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CharChar3">
    <w:name w:val="Char Char1 Char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3">
    <w:name w:val="(文字) (文字)1 Char (文字) (文字) Char (文字) (文字)1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3">
    <w:name w:val="(文字) (文字)1 Char (文字) (文字)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Char13">
    <w:name w:val="Char Char Char Char1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2CharChar3">
    <w:name w:val="Char Char2 Char Char3"/>
    <w:basedOn w:val="Normal"/>
    <w:rsid w:val="00A40BD4"/>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3">
    <w:name w:val="Char Char43"/>
    <w:rsid w:val="00A40BD4"/>
    <w:rPr>
      <w:rFonts w:ascii="Calibri Light" w:hAnsi="Calibri Light"/>
      <w:lang w:val="nb-NO" w:eastAsia="ja-JP" w:bidi="ar-SA"/>
    </w:rPr>
  </w:style>
  <w:style w:type="paragraph" w:customStyle="1" w:styleId="CharCharCharCharCharChar3">
    <w:name w:val="Char Char Char Char Char Char3"/>
    <w:semiHidden/>
    <w:rsid w:val="00A40BD4"/>
    <w:pPr>
      <w:keepNext/>
      <w:autoSpaceDE w:val="0"/>
      <w:autoSpaceDN w:val="0"/>
      <w:adjustRightInd w:val="0"/>
      <w:spacing w:before="60" w:after="60"/>
      <w:ind w:left="567" w:hanging="283"/>
      <w:jc w:val="both"/>
    </w:pPr>
    <w:rPr>
      <w:rFonts w:ascii="Intel Clear" w:hAnsi="Intel Clear" w:cs="Intel Clear"/>
      <w:color w:val="0000FF"/>
      <w:kern w:val="2"/>
      <w:lang w:val="en-US" w:eastAsia="zh-CN"/>
    </w:rPr>
  </w:style>
  <w:style w:type="paragraph" w:customStyle="1" w:styleId="70">
    <w:name w:val="(文字) (文字)7"/>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arCar3">
    <w:name w:val="Car C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13">
    <w:name w:val="Zchn Zchn1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234">
    <w:name w:val="(文字) (文字)2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334">
    <w:name w:val="(文字) (文字)3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23">
    <w:name w:val="Zchn Zchn2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434">
    <w:name w:val="(文字) (文字)4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33">
    <w:name w:val="(文字) (文字)1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73">
    <w:name w:val="Char Char73"/>
    <w:semiHidden/>
    <w:rsid w:val="00A40BD4"/>
    <w:rPr>
      <w:rFonts w:ascii="Intel Clear" w:hAnsi="Intel Clear" w:cs="Intel Clear"/>
      <w:shd w:val="clear" w:color="auto" w:fill="000080"/>
      <w:lang w:val="en-GB" w:eastAsia="en-US"/>
    </w:rPr>
  </w:style>
  <w:style w:type="character" w:customStyle="1" w:styleId="ZchnZchn53">
    <w:name w:val="Zchn Zchn53"/>
    <w:rsid w:val="00A40BD4"/>
    <w:rPr>
      <w:rFonts w:ascii="Calibri Light" w:eastAsia="Calibri Light" w:hAnsi="Calibri Light"/>
      <w:lang w:val="nb-NO" w:eastAsia="en-US" w:bidi="ar-SA"/>
    </w:rPr>
  </w:style>
  <w:style w:type="character" w:customStyle="1" w:styleId="CharChar103">
    <w:name w:val="Char Char103"/>
    <w:semiHidden/>
    <w:rsid w:val="00A40BD4"/>
    <w:rPr>
      <w:rFonts w:ascii="Intel Clear" w:hAnsi="Intel Clear"/>
      <w:lang w:val="en-GB" w:eastAsia="en-US"/>
    </w:rPr>
  </w:style>
  <w:style w:type="character" w:customStyle="1" w:styleId="CharChar93">
    <w:name w:val="Char Char93"/>
    <w:semiHidden/>
    <w:rsid w:val="00A40BD4"/>
    <w:rPr>
      <w:rFonts w:ascii="Intel Clear" w:hAnsi="Intel Clear" w:cs="Intel Clear"/>
      <w:sz w:val="16"/>
      <w:szCs w:val="16"/>
      <w:lang w:val="en-GB" w:eastAsia="en-US"/>
    </w:rPr>
  </w:style>
  <w:style w:type="character" w:customStyle="1" w:styleId="CharChar83">
    <w:name w:val="Char Char83"/>
    <w:semiHidden/>
    <w:rsid w:val="00A40BD4"/>
    <w:rPr>
      <w:rFonts w:ascii="Intel Clear" w:hAnsi="Intel Clear"/>
      <w:b/>
      <w:bCs/>
      <w:lang w:val="en-GB" w:eastAsia="en-US"/>
    </w:rPr>
  </w:style>
  <w:style w:type="paragraph" w:customStyle="1" w:styleId="1CharChar1Char3">
    <w:name w:val="(文字) (文字)1 Char (文字) (文字) Char (文字) (文字)1 Char (文字) (文字)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6">
    <w:name w:val="Zchn Zchn6"/>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4">
    <w:name w:val="目录 94"/>
    <w:basedOn w:val="TOC8"/>
    <w:rsid w:val="00A40BD4"/>
    <w:pPr>
      <w:ind w:left="1418" w:hanging="1418"/>
    </w:pPr>
    <w:rPr>
      <w:rFonts w:ascii="Intel Clear" w:eastAsia="Intel Clear" w:hAnsi="Intel Clear" w:cs="Intel Clear"/>
      <w:lang w:val="en-US"/>
    </w:rPr>
  </w:style>
  <w:style w:type="paragraph" w:customStyle="1" w:styleId="4b">
    <w:name w:val="题注4"/>
    <w:basedOn w:val="Normal"/>
    <w:next w:val="Normal"/>
    <w:rsid w:val="00A40BD4"/>
    <w:pPr>
      <w:spacing w:before="120" w:after="120"/>
    </w:pPr>
    <w:rPr>
      <w:rFonts w:ascii="Intel Clear" w:eastAsia="Intel Clear" w:hAnsi="Intel Clear" w:cs="Intel Clear"/>
      <w:b/>
    </w:rPr>
  </w:style>
  <w:style w:type="paragraph" w:customStyle="1" w:styleId="4c">
    <w:name w:val="图表目录4"/>
    <w:basedOn w:val="Normal"/>
    <w:next w:val="Normal"/>
    <w:rsid w:val="00A40BD4"/>
    <w:pPr>
      <w:ind w:left="400" w:hanging="400"/>
      <w:jc w:val="center"/>
    </w:pPr>
    <w:rPr>
      <w:rFonts w:ascii="Intel Clear" w:eastAsia="Intel Clear" w:hAnsi="Intel Clear" w:cs="Intel Clear"/>
      <w:b/>
    </w:rPr>
  </w:style>
  <w:style w:type="character" w:customStyle="1" w:styleId="CharChar293">
    <w:name w:val="Char Char293"/>
    <w:rsid w:val="00A40BD4"/>
    <w:rPr>
      <w:rFonts w:ascii="Intel Clear" w:hAnsi="Intel Clear"/>
      <w:sz w:val="36"/>
      <w:lang w:val="en-GB" w:eastAsia="en-US" w:bidi="ar-SA"/>
    </w:rPr>
  </w:style>
  <w:style w:type="character" w:customStyle="1" w:styleId="CharChar283">
    <w:name w:val="Char Char283"/>
    <w:rsid w:val="00A40BD4"/>
    <w:rPr>
      <w:rFonts w:ascii="Intel Clear" w:hAnsi="Intel Clear"/>
      <w:sz w:val="32"/>
      <w:lang w:val="en-GB"/>
    </w:rPr>
  </w:style>
  <w:style w:type="paragraph" w:customStyle="1" w:styleId="95">
    <w:name w:val="目录 95"/>
    <w:basedOn w:val="TOC8"/>
    <w:rsid w:val="00A40BD4"/>
    <w:pPr>
      <w:ind w:left="1418" w:hanging="1418"/>
    </w:pPr>
    <w:rPr>
      <w:rFonts w:ascii="Intel Clear" w:eastAsia="Intel Clear" w:hAnsi="Intel Clear" w:cs="Intel Clear"/>
      <w:lang w:val="en-US"/>
    </w:rPr>
  </w:style>
  <w:style w:type="paragraph" w:customStyle="1" w:styleId="54">
    <w:name w:val="题注5"/>
    <w:basedOn w:val="Normal"/>
    <w:next w:val="Normal"/>
    <w:rsid w:val="00A40BD4"/>
    <w:pPr>
      <w:spacing w:before="120" w:after="120"/>
    </w:pPr>
    <w:rPr>
      <w:rFonts w:ascii="Intel Clear" w:eastAsia="Intel Clear" w:hAnsi="Intel Clear" w:cs="Intel Clear"/>
      <w:b/>
    </w:rPr>
  </w:style>
  <w:style w:type="paragraph" w:customStyle="1" w:styleId="55">
    <w:name w:val="图表目录5"/>
    <w:basedOn w:val="Normal"/>
    <w:next w:val="Normal"/>
    <w:rsid w:val="00A40BD4"/>
    <w:pPr>
      <w:ind w:left="400" w:hanging="400"/>
      <w:jc w:val="center"/>
    </w:pPr>
    <w:rPr>
      <w:rFonts w:ascii="Intel Clear" w:eastAsia="Intel Clear" w:hAnsi="Intel Clear" w:cs="Intel Clear"/>
      <w:b/>
    </w:rPr>
  </w:style>
  <w:style w:type="paragraph" w:customStyle="1" w:styleId="CharChar2">
    <w:name w:val="Char Char2"/>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6">
    <w:name w:val="目录 96"/>
    <w:basedOn w:val="TOC8"/>
    <w:rsid w:val="00A40BD4"/>
    <w:pPr>
      <w:ind w:left="1418" w:hanging="1418"/>
    </w:pPr>
    <w:rPr>
      <w:rFonts w:ascii="Intel Clear" w:eastAsia="Intel Clear" w:hAnsi="Intel Clear" w:cs="Intel Clear"/>
      <w:lang w:val="en-US"/>
    </w:rPr>
  </w:style>
  <w:style w:type="paragraph" w:customStyle="1" w:styleId="64">
    <w:name w:val="题注6"/>
    <w:basedOn w:val="Normal"/>
    <w:next w:val="Normal"/>
    <w:rsid w:val="00A40BD4"/>
    <w:pPr>
      <w:spacing w:before="120" w:after="120"/>
    </w:pPr>
    <w:rPr>
      <w:rFonts w:ascii="Intel Clear" w:eastAsia="Intel Clear" w:hAnsi="Intel Clear" w:cs="Intel Clear"/>
      <w:b/>
    </w:rPr>
  </w:style>
  <w:style w:type="paragraph" w:customStyle="1" w:styleId="65">
    <w:name w:val="图表目录6"/>
    <w:basedOn w:val="Normal"/>
    <w:next w:val="Normal"/>
    <w:rsid w:val="00A40BD4"/>
    <w:pPr>
      <w:ind w:left="400" w:hanging="400"/>
      <w:jc w:val="center"/>
    </w:pPr>
    <w:rPr>
      <w:rFonts w:ascii="Intel Clear" w:eastAsia="Intel Clear" w:hAnsi="Intel Clear" w:cs="Intel Clear"/>
      <w:b/>
    </w:rPr>
  </w:style>
  <w:style w:type="table" w:customStyle="1" w:styleId="TableGrid652">
    <w:name w:val="Table Grid652"/>
    <w:basedOn w:val="TableNormal"/>
    <w:qFormat/>
    <w:rsid w:val="00A40BD4"/>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3">
    <w:name w:val="Table Grid543"/>
    <w:basedOn w:val="TableNormal"/>
    <w:uiPriority w:val="39"/>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3">
    <w:name w:val="Table Grid643"/>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uiPriority w:val="39"/>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3">
    <w:name w:val="Table Grid92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3">
    <w:name w:val="Table Grid13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3">
    <w:name w:val="Table Grid51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3">
    <w:name w:val="Table Grid61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3">
    <w:name w:val="Table Grid11122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3">
    <w:name w:val="Table Grid102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3">
    <w:name w:val="Table Grid14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3">
    <w:name w:val="Table Grid43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3">
    <w:name w:val="Table Grid52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3">
    <w:name w:val="Table Grid62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3">
    <w:name w:val="Table Grid113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3">
    <w:name w:val="Table Grid412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3">
    <w:name w:val="Table Grid11132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3">
    <w:name w:val="Table Grid152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3">
    <w:name w:val="Table Grid16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3">
    <w:name w:val="Table Grid44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3">
    <w:name w:val="Table Grid53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3">
    <w:name w:val="Table Grid63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3">
    <w:name w:val="Table Grid114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3">
    <w:name w:val="Table Grid413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3">
    <w:name w:val="Table Grid11142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3">
    <w:name w:val="Table Grid93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3">
    <w:name w:val="Table Grid13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3">
    <w:name w:val="Table Grid51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3">
    <w:name w:val="Table Grid61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3">
    <w:name w:val="Table Grid112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3">
    <w:name w:val="Table Grid411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3">
    <w:name w:val="Table Grid11123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3">
    <w:name w:val="Table Grid103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3">
    <w:name w:val="Table Grid14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3">
    <w:name w:val="Table Grid43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3">
    <w:name w:val="Table Grid52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3">
    <w:name w:val="Table Grid62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3">
    <w:name w:val="Table Grid113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3">
    <w:name w:val="Table Grid412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3">
    <w:name w:val="Table Grid11133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3">
    <w:name w:val="Table Grid153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3">
    <w:name w:val="Table Grid16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3">
    <w:name w:val="Table Grid44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3">
    <w:name w:val="Table Grid53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3">
    <w:name w:val="Table Grid63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3">
    <w:name w:val="Table Grid114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3">
    <w:name w:val="Table Grid413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3">
    <w:name w:val="Table Grid11143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网格型13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3">
    <w:name w:val="Table Grid94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3">
    <w:name w:val="Table Grid13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3">
    <w:name w:val="Table Grid42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3">
    <w:name w:val="Table Grid51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3">
    <w:name w:val="Table Grid61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3">
    <w:name w:val="Table Grid112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3">
    <w:name w:val="Table Grid411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3">
    <w:name w:val="Table Grid11124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3">
    <w:name w:val="Table Grid104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3">
    <w:name w:val="Table Grid14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3">
    <w:name w:val="Table Grid43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3">
    <w:name w:val="Table Grid52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3">
    <w:name w:val="Table Grid62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3">
    <w:name w:val="Table Grid113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3">
    <w:name w:val="Table Grid412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3">
    <w:name w:val="Table Grid11134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3">
    <w:name w:val="Table Grid154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3">
    <w:name w:val="Table Grid16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3">
    <w:name w:val="Table Grid44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3">
    <w:name w:val="Table Grid53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3">
    <w:name w:val="Table Grid63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3">
    <w:name w:val="Table Grid114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3">
    <w:name w:val="Table Grid413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3">
    <w:name w:val="Table Grid11144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网格型14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2">
    <w:name w:val="Table Grid13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2">
    <w:name w:val="Table Grid42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2">
    <w:name w:val="Table Grid51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2">
    <w:name w:val="Table Grid61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2">
    <w:name w:val="Table Grid112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2">
    <w:name w:val="Table Grid411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2">
    <w:name w:val="Table Grid11125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2">
    <w:name w:val="Table Grid105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2">
    <w:name w:val="Table Grid14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2">
    <w:name w:val="Table Grid43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2">
    <w:name w:val="Table Grid52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2">
    <w:name w:val="Table Grid62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2">
    <w:name w:val="Table Grid113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2">
    <w:name w:val="Table Grid412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2">
    <w:name w:val="Table Grid11135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2">
    <w:name w:val="Table Grid155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2">
    <w:name w:val="Table Grid16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2">
    <w:name w:val="Table Grid44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2">
    <w:name w:val="Table Grid53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2">
    <w:name w:val="Table Grid63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2">
    <w:name w:val="Table Grid114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2">
    <w:name w:val="Table Grid413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2">
    <w:name w:val="Table Grid11145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网格型15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网格型222"/>
    <w:basedOn w:val="TableNormal"/>
    <w:qFormat/>
    <w:rsid w:val="00A40BD4"/>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2">
    <w:name w:val="Table Grid911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2">
    <w:name w:val="Table Grid1011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2">
    <w:name w:val="Table Grid1511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2">
    <w:name w:val="Table Grid1611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2">
    <w:name w:val="Table Grid4411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2">
    <w:name w:val="Table Grid5311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2">
    <w:name w:val="Table Grid6311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2">
    <w:name w:val="Table Grid11411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2">
    <w:name w:val="Table Grid41311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2">
    <w:name w:val="Table Grid111411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2">
    <w:name w:val="Table Grid13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2">
    <w:name w:val="Table Grid42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2">
    <w:name w:val="Table Grid51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2">
    <w:name w:val="Table Grid61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2">
    <w:name w:val="Table Grid112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2">
    <w:name w:val="Table Grid411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2">
    <w:name w:val="Table Grid11126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2">
    <w:name w:val="Table Grid106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2">
    <w:name w:val="Table Grid14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2">
    <w:name w:val="Table Grid43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2">
    <w:name w:val="Table Grid52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2">
    <w:name w:val="Table Grid62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2">
    <w:name w:val="Table Grid113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2">
    <w:name w:val="Table Grid412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2">
    <w:name w:val="Table Grid11136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2">
    <w:name w:val="Table Grid156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2">
    <w:name w:val="Table Grid16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2">
    <w:name w:val="Table Grid44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2">
    <w:name w:val="Table Grid53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2">
    <w:name w:val="Table Grid63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2">
    <w:name w:val="Table Grid114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2">
    <w:name w:val="Table Grid413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2">
    <w:name w:val="Table Grid11146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网格型232"/>
    <w:basedOn w:val="TableNormal"/>
    <w:qFormat/>
    <w:rsid w:val="00A40BD4"/>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2">
    <w:name w:val="Table Grid91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2">
    <w:name w:val="Table Grid101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2">
    <w:name w:val="Table Grid151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2">
    <w:name w:val="Table Grid1612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2">
    <w:name w:val="Table Grid441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2">
    <w:name w:val="Table Grid5312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2">
    <w:name w:val="Table Grid631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2">
    <w:name w:val="Table Grid11412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2">
    <w:name w:val="Table Grid4131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2">
    <w:name w:val="Table Grid11141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网格型84"/>
    <w:basedOn w:val="TableNormal"/>
    <w:next w:val="TableGrid"/>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3">
    <w:name w:val="Table Grid653"/>
    <w:basedOn w:val="TableNormal"/>
    <w:qFormat/>
    <w:rsid w:val="00A40BD4"/>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4"/>
    <w:basedOn w:val="TableNormal"/>
    <w:qFormat/>
    <w:rsid w:val="00A40BD4"/>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2">
    <w:name w:val="Table Grid702"/>
    <w:basedOn w:val="TableNormal"/>
    <w:next w:val="TableGrid"/>
    <w:qFormat/>
    <w:rsid w:val="00A40BD4"/>
    <w:rPr>
      <w:rFonts w:ascii="Times New Roman" w:eastAsiaTheme="minorEastAsia"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A40BD4"/>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5">
    <w:name w:val="Table Grid2245"/>
    <w:basedOn w:val="TableNormal"/>
    <w:next w:val="TableGrid"/>
    <w:qFormat/>
    <w:rsid w:val="00A40BD4"/>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0">
    <w:name w:val="网格型114"/>
    <w:basedOn w:val="TableNormal"/>
    <w:next w:val="TableGrid"/>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86848">
      <w:bodyDiv w:val="1"/>
      <w:marLeft w:val="0"/>
      <w:marRight w:val="0"/>
      <w:marTop w:val="0"/>
      <w:marBottom w:val="0"/>
      <w:divBdr>
        <w:top w:val="none" w:sz="0" w:space="0" w:color="auto"/>
        <w:left w:val="none" w:sz="0" w:space="0" w:color="auto"/>
        <w:bottom w:val="none" w:sz="0" w:space="0" w:color="auto"/>
        <w:right w:val="none" w:sz="0" w:space="0" w:color="auto"/>
      </w:divBdr>
    </w:div>
    <w:div w:id="77337982">
      <w:bodyDiv w:val="1"/>
      <w:marLeft w:val="0"/>
      <w:marRight w:val="0"/>
      <w:marTop w:val="0"/>
      <w:marBottom w:val="0"/>
      <w:divBdr>
        <w:top w:val="none" w:sz="0" w:space="0" w:color="auto"/>
        <w:left w:val="none" w:sz="0" w:space="0" w:color="auto"/>
        <w:bottom w:val="none" w:sz="0" w:space="0" w:color="auto"/>
        <w:right w:val="none" w:sz="0" w:space="0" w:color="auto"/>
      </w:divBdr>
      <w:divsChild>
        <w:div w:id="208690993">
          <w:marLeft w:val="1166"/>
          <w:marRight w:val="0"/>
          <w:marTop w:val="77"/>
          <w:marBottom w:val="0"/>
          <w:divBdr>
            <w:top w:val="none" w:sz="0" w:space="0" w:color="auto"/>
            <w:left w:val="none" w:sz="0" w:space="0" w:color="auto"/>
            <w:bottom w:val="none" w:sz="0" w:space="0" w:color="auto"/>
            <w:right w:val="none" w:sz="0" w:space="0" w:color="auto"/>
          </w:divBdr>
        </w:div>
        <w:div w:id="277176787">
          <w:marLeft w:val="1800"/>
          <w:marRight w:val="0"/>
          <w:marTop w:val="67"/>
          <w:marBottom w:val="0"/>
          <w:divBdr>
            <w:top w:val="none" w:sz="0" w:space="0" w:color="auto"/>
            <w:left w:val="none" w:sz="0" w:space="0" w:color="auto"/>
            <w:bottom w:val="none" w:sz="0" w:space="0" w:color="auto"/>
            <w:right w:val="none" w:sz="0" w:space="0" w:color="auto"/>
          </w:divBdr>
        </w:div>
        <w:div w:id="1425036444">
          <w:marLeft w:val="1166"/>
          <w:marRight w:val="0"/>
          <w:marTop w:val="77"/>
          <w:marBottom w:val="0"/>
          <w:divBdr>
            <w:top w:val="none" w:sz="0" w:space="0" w:color="auto"/>
            <w:left w:val="none" w:sz="0" w:space="0" w:color="auto"/>
            <w:bottom w:val="none" w:sz="0" w:space="0" w:color="auto"/>
            <w:right w:val="none" w:sz="0" w:space="0" w:color="auto"/>
          </w:divBdr>
        </w:div>
        <w:div w:id="2124808789">
          <w:marLeft w:val="1800"/>
          <w:marRight w:val="0"/>
          <w:marTop w:val="67"/>
          <w:marBottom w:val="0"/>
          <w:divBdr>
            <w:top w:val="none" w:sz="0" w:space="0" w:color="auto"/>
            <w:left w:val="none" w:sz="0" w:space="0" w:color="auto"/>
            <w:bottom w:val="none" w:sz="0" w:space="0" w:color="auto"/>
            <w:right w:val="none" w:sz="0" w:space="0" w:color="auto"/>
          </w:divBdr>
        </w:div>
      </w:divsChild>
    </w:div>
    <w:div w:id="100225408">
      <w:bodyDiv w:val="1"/>
      <w:marLeft w:val="0"/>
      <w:marRight w:val="0"/>
      <w:marTop w:val="0"/>
      <w:marBottom w:val="0"/>
      <w:divBdr>
        <w:top w:val="none" w:sz="0" w:space="0" w:color="auto"/>
        <w:left w:val="none" w:sz="0" w:space="0" w:color="auto"/>
        <w:bottom w:val="none" w:sz="0" w:space="0" w:color="auto"/>
        <w:right w:val="none" w:sz="0" w:space="0" w:color="auto"/>
      </w:divBdr>
      <w:divsChild>
        <w:div w:id="67460075">
          <w:marLeft w:val="2520"/>
          <w:marRight w:val="0"/>
          <w:marTop w:val="86"/>
          <w:marBottom w:val="0"/>
          <w:divBdr>
            <w:top w:val="none" w:sz="0" w:space="0" w:color="auto"/>
            <w:left w:val="none" w:sz="0" w:space="0" w:color="auto"/>
            <w:bottom w:val="none" w:sz="0" w:space="0" w:color="auto"/>
            <w:right w:val="none" w:sz="0" w:space="0" w:color="auto"/>
          </w:divBdr>
        </w:div>
        <w:div w:id="783184601">
          <w:marLeft w:val="2520"/>
          <w:marRight w:val="0"/>
          <w:marTop w:val="86"/>
          <w:marBottom w:val="0"/>
          <w:divBdr>
            <w:top w:val="none" w:sz="0" w:space="0" w:color="auto"/>
            <w:left w:val="none" w:sz="0" w:space="0" w:color="auto"/>
            <w:bottom w:val="none" w:sz="0" w:space="0" w:color="auto"/>
            <w:right w:val="none" w:sz="0" w:space="0" w:color="auto"/>
          </w:divBdr>
        </w:div>
        <w:div w:id="794637833">
          <w:marLeft w:val="1800"/>
          <w:marRight w:val="0"/>
          <w:marTop w:val="86"/>
          <w:marBottom w:val="0"/>
          <w:divBdr>
            <w:top w:val="none" w:sz="0" w:space="0" w:color="auto"/>
            <w:left w:val="none" w:sz="0" w:space="0" w:color="auto"/>
            <w:bottom w:val="none" w:sz="0" w:space="0" w:color="auto"/>
            <w:right w:val="none" w:sz="0" w:space="0" w:color="auto"/>
          </w:divBdr>
        </w:div>
        <w:div w:id="2049180920">
          <w:marLeft w:val="2520"/>
          <w:marRight w:val="0"/>
          <w:marTop w:val="86"/>
          <w:marBottom w:val="0"/>
          <w:divBdr>
            <w:top w:val="none" w:sz="0" w:space="0" w:color="auto"/>
            <w:left w:val="none" w:sz="0" w:space="0" w:color="auto"/>
            <w:bottom w:val="none" w:sz="0" w:space="0" w:color="auto"/>
            <w:right w:val="none" w:sz="0" w:space="0" w:color="auto"/>
          </w:divBdr>
        </w:div>
      </w:divsChild>
    </w:div>
    <w:div w:id="140274570">
      <w:bodyDiv w:val="1"/>
      <w:marLeft w:val="0"/>
      <w:marRight w:val="0"/>
      <w:marTop w:val="0"/>
      <w:marBottom w:val="0"/>
      <w:divBdr>
        <w:top w:val="none" w:sz="0" w:space="0" w:color="auto"/>
        <w:left w:val="none" w:sz="0" w:space="0" w:color="auto"/>
        <w:bottom w:val="none" w:sz="0" w:space="0" w:color="auto"/>
        <w:right w:val="none" w:sz="0" w:space="0" w:color="auto"/>
      </w:divBdr>
    </w:div>
    <w:div w:id="142040067">
      <w:bodyDiv w:val="1"/>
      <w:marLeft w:val="0"/>
      <w:marRight w:val="0"/>
      <w:marTop w:val="0"/>
      <w:marBottom w:val="0"/>
      <w:divBdr>
        <w:top w:val="none" w:sz="0" w:space="0" w:color="auto"/>
        <w:left w:val="none" w:sz="0" w:space="0" w:color="auto"/>
        <w:bottom w:val="none" w:sz="0" w:space="0" w:color="auto"/>
        <w:right w:val="none" w:sz="0" w:space="0" w:color="auto"/>
      </w:divBdr>
    </w:div>
    <w:div w:id="153184450">
      <w:bodyDiv w:val="1"/>
      <w:marLeft w:val="0"/>
      <w:marRight w:val="0"/>
      <w:marTop w:val="0"/>
      <w:marBottom w:val="0"/>
      <w:divBdr>
        <w:top w:val="none" w:sz="0" w:space="0" w:color="auto"/>
        <w:left w:val="none" w:sz="0" w:space="0" w:color="auto"/>
        <w:bottom w:val="none" w:sz="0" w:space="0" w:color="auto"/>
        <w:right w:val="none" w:sz="0" w:space="0" w:color="auto"/>
      </w:divBdr>
    </w:div>
    <w:div w:id="167402606">
      <w:bodyDiv w:val="1"/>
      <w:marLeft w:val="0"/>
      <w:marRight w:val="0"/>
      <w:marTop w:val="0"/>
      <w:marBottom w:val="0"/>
      <w:divBdr>
        <w:top w:val="none" w:sz="0" w:space="0" w:color="auto"/>
        <w:left w:val="none" w:sz="0" w:space="0" w:color="auto"/>
        <w:bottom w:val="none" w:sz="0" w:space="0" w:color="auto"/>
        <w:right w:val="none" w:sz="0" w:space="0" w:color="auto"/>
      </w:divBdr>
    </w:div>
    <w:div w:id="168175419">
      <w:bodyDiv w:val="1"/>
      <w:marLeft w:val="0"/>
      <w:marRight w:val="0"/>
      <w:marTop w:val="0"/>
      <w:marBottom w:val="0"/>
      <w:divBdr>
        <w:top w:val="none" w:sz="0" w:space="0" w:color="auto"/>
        <w:left w:val="none" w:sz="0" w:space="0" w:color="auto"/>
        <w:bottom w:val="none" w:sz="0" w:space="0" w:color="auto"/>
        <w:right w:val="none" w:sz="0" w:space="0" w:color="auto"/>
      </w:divBdr>
    </w:div>
    <w:div w:id="185599305">
      <w:bodyDiv w:val="1"/>
      <w:marLeft w:val="0"/>
      <w:marRight w:val="0"/>
      <w:marTop w:val="0"/>
      <w:marBottom w:val="0"/>
      <w:divBdr>
        <w:top w:val="none" w:sz="0" w:space="0" w:color="auto"/>
        <w:left w:val="none" w:sz="0" w:space="0" w:color="auto"/>
        <w:bottom w:val="none" w:sz="0" w:space="0" w:color="auto"/>
        <w:right w:val="none" w:sz="0" w:space="0" w:color="auto"/>
      </w:divBdr>
      <w:divsChild>
        <w:div w:id="66197053">
          <w:marLeft w:val="2520"/>
          <w:marRight w:val="0"/>
          <w:marTop w:val="86"/>
          <w:marBottom w:val="0"/>
          <w:divBdr>
            <w:top w:val="none" w:sz="0" w:space="0" w:color="auto"/>
            <w:left w:val="none" w:sz="0" w:space="0" w:color="auto"/>
            <w:bottom w:val="none" w:sz="0" w:space="0" w:color="auto"/>
            <w:right w:val="none" w:sz="0" w:space="0" w:color="auto"/>
          </w:divBdr>
        </w:div>
        <w:div w:id="93288020">
          <w:marLeft w:val="1800"/>
          <w:marRight w:val="0"/>
          <w:marTop w:val="86"/>
          <w:marBottom w:val="0"/>
          <w:divBdr>
            <w:top w:val="none" w:sz="0" w:space="0" w:color="auto"/>
            <w:left w:val="none" w:sz="0" w:space="0" w:color="auto"/>
            <w:bottom w:val="none" w:sz="0" w:space="0" w:color="auto"/>
            <w:right w:val="none" w:sz="0" w:space="0" w:color="auto"/>
          </w:divBdr>
        </w:div>
        <w:div w:id="344017623">
          <w:marLeft w:val="2520"/>
          <w:marRight w:val="0"/>
          <w:marTop w:val="86"/>
          <w:marBottom w:val="0"/>
          <w:divBdr>
            <w:top w:val="none" w:sz="0" w:space="0" w:color="auto"/>
            <w:left w:val="none" w:sz="0" w:space="0" w:color="auto"/>
            <w:bottom w:val="none" w:sz="0" w:space="0" w:color="auto"/>
            <w:right w:val="none" w:sz="0" w:space="0" w:color="auto"/>
          </w:divBdr>
        </w:div>
        <w:div w:id="538011013">
          <w:marLeft w:val="1800"/>
          <w:marRight w:val="0"/>
          <w:marTop w:val="86"/>
          <w:marBottom w:val="0"/>
          <w:divBdr>
            <w:top w:val="none" w:sz="0" w:space="0" w:color="auto"/>
            <w:left w:val="none" w:sz="0" w:space="0" w:color="auto"/>
            <w:bottom w:val="none" w:sz="0" w:space="0" w:color="auto"/>
            <w:right w:val="none" w:sz="0" w:space="0" w:color="auto"/>
          </w:divBdr>
        </w:div>
        <w:div w:id="883951300">
          <w:marLeft w:val="2520"/>
          <w:marRight w:val="0"/>
          <w:marTop w:val="86"/>
          <w:marBottom w:val="0"/>
          <w:divBdr>
            <w:top w:val="none" w:sz="0" w:space="0" w:color="auto"/>
            <w:left w:val="none" w:sz="0" w:space="0" w:color="auto"/>
            <w:bottom w:val="none" w:sz="0" w:space="0" w:color="auto"/>
            <w:right w:val="none" w:sz="0" w:space="0" w:color="auto"/>
          </w:divBdr>
        </w:div>
        <w:div w:id="929658061">
          <w:marLeft w:val="2520"/>
          <w:marRight w:val="0"/>
          <w:marTop w:val="86"/>
          <w:marBottom w:val="0"/>
          <w:divBdr>
            <w:top w:val="none" w:sz="0" w:space="0" w:color="auto"/>
            <w:left w:val="none" w:sz="0" w:space="0" w:color="auto"/>
            <w:bottom w:val="none" w:sz="0" w:space="0" w:color="auto"/>
            <w:right w:val="none" w:sz="0" w:space="0" w:color="auto"/>
          </w:divBdr>
        </w:div>
        <w:div w:id="964307682">
          <w:marLeft w:val="2520"/>
          <w:marRight w:val="0"/>
          <w:marTop w:val="86"/>
          <w:marBottom w:val="0"/>
          <w:divBdr>
            <w:top w:val="none" w:sz="0" w:space="0" w:color="auto"/>
            <w:left w:val="none" w:sz="0" w:space="0" w:color="auto"/>
            <w:bottom w:val="none" w:sz="0" w:space="0" w:color="auto"/>
            <w:right w:val="none" w:sz="0" w:space="0" w:color="auto"/>
          </w:divBdr>
        </w:div>
        <w:div w:id="1003512710">
          <w:marLeft w:val="2520"/>
          <w:marRight w:val="0"/>
          <w:marTop w:val="86"/>
          <w:marBottom w:val="0"/>
          <w:divBdr>
            <w:top w:val="none" w:sz="0" w:space="0" w:color="auto"/>
            <w:left w:val="none" w:sz="0" w:space="0" w:color="auto"/>
            <w:bottom w:val="none" w:sz="0" w:space="0" w:color="auto"/>
            <w:right w:val="none" w:sz="0" w:space="0" w:color="auto"/>
          </w:divBdr>
        </w:div>
        <w:div w:id="1573467650">
          <w:marLeft w:val="1800"/>
          <w:marRight w:val="0"/>
          <w:marTop w:val="86"/>
          <w:marBottom w:val="0"/>
          <w:divBdr>
            <w:top w:val="none" w:sz="0" w:space="0" w:color="auto"/>
            <w:left w:val="none" w:sz="0" w:space="0" w:color="auto"/>
            <w:bottom w:val="none" w:sz="0" w:space="0" w:color="auto"/>
            <w:right w:val="none" w:sz="0" w:space="0" w:color="auto"/>
          </w:divBdr>
        </w:div>
      </w:divsChild>
    </w:div>
    <w:div w:id="254873421">
      <w:bodyDiv w:val="1"/>
      <w:marLeft w:val="0"/>
      <w:marRight w:val="0"/>
      <w:marTop w:val="0"/>
      <w:marBottom w:val="0"/>
      <w:divBdr>
        <w:top w:val="none" w:sz="0" w:space="0" w:color="auto"/>
        <w:left w:val="none" w:sz="0" w:space="0" w:color="auto"/>
        <w:bottom w:val="none" w:sz="0" w:space="0" w:color="auto"/>
        <w:right w:val="none" w:sz="0" w:space="0" w:color="auto"/>
      </w:divBdr>
      <w:divsChild>
        <w:div w:id="375005452">
          <w:marLeft w:val="1166"/>
          <w:marRight w:val="0"/>
          <w:marTop w:val="115"/>
          <w:marBottom w:val="0"/>
          <w:divBdr>
            <w:top w:val="none" w:sz="0" w:space="0" w:color="auto"/>
            <w:left w:val="none" w:sz="0" w:space="0" w:color="auto"/>
            <w:bottom w:val="none" w:sz="0" w:space="0" w:color="auto"/>
            <w:right w:val="none" w:sz="0" w:space="0" w:color="auto"/>
          </w:divBdr>
        </w:div>
        <w:div w:id="765077057">
          <w:marLeft w:val="1800"/>
          <w:marRight w:val="0"/>
          <w:marTop w:val="96"/>
          <w:marBottom w:val="0"/>
          <w:divBdr>
            <w:top w:val="none" w:sz="0" w:space="0" w:color="auto"/>
            <w:left w:val="none" w:sz="0" w:space="0" w:color="auto"/>
            <w:bottom w:val="none" w:sz="0" w:space="0" w:color="auto"/>
            <w:right w:val="none" w:sz="0" w:space="0" w:color="auto"/>
          </w:divBdr>
        </w:div>
        <w:div w:id="773787593">
          <w:marLeft w:val="547"/>
          <w:marRight w:val="0"/>
          <w:marTop w:val="130"/>
          <w:marBottom w:val="0"/>
          <w:divBdr>
            <w:top w:val="none" w:sz="0" w:space="0" w:color="auto"/>
            <w:left w:val="none" w:sz="0" w:space="0" w:color="auto"/>
            <w:bottom w:val="none" w:sz="0" w:space="0" w:color="auto"/>
            <w:right w:val="none" w:sz="0" w:space="0" w:color="auto"/>
          </w:divBdr>
        </w:div>
        <w:div w:id="785851250">
          <w:marLeft w:val="1166"/>
          <w:marRight w:val="0"/>
          <w:marTop w:val="115"/>
          <w:marBottom w:val="0"/>
          <w:divBdr>
            <w:top w:val="none" w:sz="0" w:space="0" w:color="auto"/>
            <w:left w:val="none" w:sz="0" w:space="0" w:color="auto"/>
            <w:bottom w:val="none" w:sz="0" w:space="0" w:color="auto"/>
            <w:right w:val="none" w:sz="0" w:space="0" w:color="auto"/>
          </w:divBdr>
        </w:div>
        <w:div w:id="810557797">
          <w:marLeft w:val="1166"/>
          <w:marRight w:val="0"/>
          <w:marTop w:val="115"/>
          <w:marBottom w:val="0"/>
          <w:divBdr>
            <w:top w:val="none" w:sz="0" w:space="0" w:color="auto"/>
            <w:left w:val="none" w:sz="0" w:space="0" w:color="auto"/>
            <w:bottom w:val="none" w:sz="0" w:space="0" w:color="auto"/>
            <w:right w:val="none" w:sz="0" w:space="0" w:color="auto"/>
          </w:divBdr>
        </w:div>
        <w:div w:id="1358459940">
          <w:marLeft w:val="1166"/>
          <w:marRight w:val="0"/>
          <w:marTop w:val="115"/>
          <w:marBottom w:val="0"/>
          <w:divBdr>
            <w:top w:val="none" w:sz="0" w:space="0" w:color="auto"/>
            <w:left w:val="none" w:sz="0" w:space="0" w:color="auto"/>
            <w:bottom w:val="none" w:sz="0" w:space="0" w:color="auto"/>
            <w:right w:val="none" w:sz="0" w:space="0" w:color="auto"/>
          </w:divBdr>
        </w:div>
        <w:div w:id="1444228243">
          <w:marLeft w:val="1800"/>
          <w:marRight w:val="0"/>
          <w:marTop w:val="96"/>
          <w:marBottom w:val="0"/>
          <w:divBdr>
            <w:top w:val="none" w:sz="0" w:space="0" w:color="auto"/>
            <w:left w:val="none" w:sz="0" w:space="0" w:color="auto"/>
            <w:bottom w:val="none" w:sz="0" w:space="0" w:color="auto"/>
            <w:right w:val="none" w:sz="0" w:space="0" w:color="auto"/>
          </w:divBdr>
        </w:div>
        <w:div w:id="2107728093">
          <w:marLeft w:val="547"/>
          <w:marRight w:val="0"/>
          <w:marTop w:val="130"/>
          <w:marBottom w:val="0"/>
          <w:divBdr>
            <w:top w:val="none" w:sz="0" w:space="0" w:color="auto"/>
            <w:left w:val="none" w:sz="0" w:space="0" w:color="auto"/>
            <w:bottom w:val="none" w:sz="0" w:space="0" w:color="auto"/>
            <w:right w:val="none" w:sz="0" w:space="0" w:color="auto"/>
          </w:divBdr>
        </w:div>
      </w:divsChild>
    </w:div>
    <w:div w:id="271517691">
      <w:bodyDiv w:val="1"/>
      <w:marLeft w:val="0"/>
      <w:marRight w:val="0"/>
      <w:marTop w:val="0"/>
      <w:marBottom w:val="0"/>
      <w:divBdr>
        <w:top w:val="none" w:sz="0" w:space="0" w:color="auto"/>
        <w:left w:val="none" w:sz="0" w:space="0" w:color="auto"/>
        <w:bottom w:val="none" w:sz="0" w:space="0" w:color="auto"/>
        <w:right w:val="none" w:sz="0" w:space="0" w:color="auto"/>
      </w:divBdr>
    </w:div>
    <w:div w:id="380979089">
      <w:bodyDiv w:val="1"/>
      <w:marLeft w:val="0"/>
      <w:marRight w:val="0"/>
      <w:marTop w:val="0"/>
      <w:marBottom w:val="0"/>
      <w:divBdr>
        <w:top w:val="none" w:sz="0" w:space="0" w:color="auto"/>
        <w:left w:val="none" w:sz="0" w:space="0" w:color="auto"/>
        <w:bottom w:val="none" w:sz="0" w:space="0" w:color="auto"/>
        <w:right w:val="none" w:sz="0" w:space="0" w:color="auto"/>
      </w:divBdr>
    </w:div>
    <w:div w:id="386800482">
      <w:bodyDiv w:val="1"/>
      <w:marLeft w:val="0"/>
      <w:marRight w:val="0"/>
      <w:marTop w:val="0"/>
      <w:marBottom w:val="0"/>
      <w:divBdr>
        <w:top w:val="none" w:sz="0" w:space="0" w:color="auto"/>
        <w:left w:val="none" w:sz="0" w:space="0" w:color="auto"/>
        <w:bottom w:val="none" w:sz="0" w:space="0" w:color="auto"/>
        <w:right w:val="none" w:sz="0" w:space="0" w:color="auto"/>
      </w:divBdr>
      <w:divsChild>
        <w:div w:id="1097940653">
          <w:marLeft w:val="547"/>
          <w:marRight w:val="0"/>
          <w:marTop w:val="86"/>
          <w:marBottom w:val="0"/>
          <w:divBdr>
            <w:top w:val="none" w:sz="0" w:space="0" w:color="auto"/>
            <w:left w:val="none" w:sz="0" w:space="0" w:color="auto"/>
            <w:bottom w:val="none" w:sz="0" w:space="0" w:color="auto"/>
            <w:right w:val="none" w:sz="0" w:space="0" w:color="auto"/>
          </w:divBdr>
        </w:div>
      </w:divsChild>
    </w:div>
    <w:div w:id="401290600">
      <w:bodyDiv w:val="1"/>
      <w:marLeft w:val="0"/>
      <w:marRight w:val="0"/>
      <w:marTop w:val="0"/>
      <w:marBottom w:val="0"/>
      <w:divBdr>
        <w:top w:val="none" w:sz="0" w:space="0" w:color="auto"/>
        <w:left w:val="none" w:sz="0" w:space="0" w:color="auto"/>
        <w:bottom w:val="none" w:sz="0" w:space="0" w:color="auto"/>
        <w:right w:val="none" w:sz="0" w:space="0" w:color="auto"/>
      </w:divBdr>
    </w:div>
    <w:div w:id="424615490">
      <w:bodyDiv w:val="1"/>
      <w:marLeft w:val="0"/>
      <w:marRight w:val="0"/>
      <w:marTop w:val="0"/>
      <w:marBottom w:val="0"/>
      <w:divBdr>
        <w:top w:val="none" w:sz="0" w:space="0" w:color="auto"/>
        <w:left w:val="none" w:sz="0" w:space="0" w:color="auto"/>
        <w:bottom w:val="none" w:sz="0" w:space="0" w:color="auto"/>
        <w:right w:val="none" w:sz="0" w:space="0" w:color="auto"/>
      </w:divBdr>
    </w:div>
    <w:div w:id="434253002">
      <w:bodyDiv w:val="1"/>
      <w:marLeft w:val="0"/>
      <w:marRight w:val="0"/>
      <w:marTop w:val="0"/>
      <w:marBottom w:val="0"/>
      <w:divBdr>
        <w:top w:val="none" w:sz="0" w:space="0" w:color="auto"/>
        <w:left w:val="none" w:sz="0" w:space="0" w:color="auto"/>
        <w:bottom w:val="none" w:sz="0" w:space="0" w:color="auto"/>
        <w:right w:val="none" w:sz="0" w:space="0" w:color="auto"/>
      </w:divBdr>
    </w:div>
    <w:div w:id="435559988">
      <w:bodyDiv w:val="1"/>
      <w:marLeft w:val="0"/>
      <w:marRight w:val="0"/>
      <w:marTop w:val="0"/>
      <w:marBottom w:val="0"/>
      <w:divBdr>
        <w:top w:val="none" w:sz="0" w:space="0" w:color="auto"/>
        <w:left w:val="none" w:sz="0" w:space="0" w:color="auto"/>
        <w:bottom w:val="none" w:sz="0" w:space="0" w:color="auto"/>
        <w:right w:val="none" w:sz="0" w:space="0" w:color="auto"/>
      </w:divBdr>
      <w:divsChild>
        <w:div w:id="585768653">
          <w:marLeft w:val="547"/>
          <w:marRight w:val="0"/>
          <w:marTop w:val="96"/>
          <w:marBottom w:val="0"/>
          <w:divBdr>
            <w:top w:val="none" w:sz="0" w:space="0" w:color="auto"/>
            <w:left w:val="none" w:sz="0" w:space="0" w:color="auto"/>
            <w:bottom w:val="none" w:sz="0" w:space="0" w:color="auto"/>
            <w:right w:val="none" w:sz="0" w:space="0" w:color="auto"/>
          </w:divBdr>
        </w:div>
        <w:div w:id="626162173">
          <w:marLeft w:val="547"/>
          <w:marRight w:val="0"/>
          <w:marTop w:val="96"/>
          <w:marBottom w:val="0"/>
          <w:divBdr>
            <w:top w:val="none" w:sz="0" w:space="0" w:color="auto"/>
            <w:left w:val="none" w:sz="0" w:space="0" w:color="auto"/>
            <w:bottom w:val="none" w:sz="0" w:space="0" w:color="auto"/>
            <w:right w:val="none" w:sz="0" w:space="0" w:color="auto"/>
          </w:divBdr>
        </w:div>
      </w:divsChild>
    </w:div>
    <w:div w:id="455374736">
      <w:bodyDiv w:val="1"/>
      <w:marLeft w:val="0"/>
      <w:marRight w:val="0"/>
      <w:marTop w:val="0"/>
      <w:marBottom w:val="0"/>
      <w:divBdr>
        <w:top w:val="none" w:sz="0" w:space="0" w:color="auto"/>
        <w:left w:val="none" w:sz="0" w:space="0" w:color="auto"/>
        <w:bottom w:val="none" w:sz="0" w:space="0" w:color="auto"/>
        <w:right w:val="none" w:sz="0" w:space="0" w:color="auto"/>
      </w:divBdr>
    </w:div>
    <w:div w:id="470293240">
      <w:bodyDiv w:val="1"/>
      <w:marLeft w:val="0"/>
      <w:marRight w:val="0"/>
      <w:marTop w:val="0"/>
      <w:marBottom w:val="0"/>
      <w:divBdr>
        <w:top w:val="none" w:sz="0" w:space="0" w:color="auto"/>
        <w:left w:val="none" w:sz="0" w:space="0" w:color="auto"/>
        <w:bottom w:val="none" w:sz="0" w:space="0" w:color="auto"/>
        <w:right w:val="none" w:sz="0" w:space="0" w:color="auto"/>
      </w:divBdr>
      <w:divsChild>
        <w:div w:id="1673600863">
          <w:marLeft w:val="1670"/>
          <w:marRight w:val="0"/>
          <w:marTop w:val="86"/>
          <w:marBottom w:val="0"/>
          <w:divBdr>
            <w:top w:val="none" w:sz="0" w:space="0" w:color="auto"/>
            <w:left w:val="none" w:sz="0" w:space="0" w:color="auto"/>
            <w:bottom w:val="none" w:sz="0" w:space="0" w:color="auto"/>
            <w:right w:val="none" w:sz="0" w:space="0" w:color="auto"/>
          </w:divBdr>
        </w:div>
      </w:divsChild>
    </w:div>
    <w:div w:id="497621072">
      <w:bodyDiv w:val="1"/>
      <w:marLeft w:val="0"/>
      <w:marRight w:val="0"/>
      <w:marTop w:val="0"/>
      <w:marBottom w:val="0"/>
      <w:divBdr>
        <w:top w:val="none" w:sz="0" w:space="0" w:color="auto"/>
        <w:left w:val="none" w:sz="0" w:space="0" w:color="auto"/>
        <w:bottom w:val="none" w:sz="0" w:space="0" w:color="auto"/>
        <w:right w:val="none" w:sz="0" w:space="0" w:color="auto"/>
      </w:divBdr>
    </w:div>
    <w:div w:id="534082697">
      <w:bodyDiv w:val="1"/>
      <w:marLeft w:val="0"/>
      <w:marRight w:val="0"/>
      <w:marTop w:val="0"/>
      <w:marBottom w:val="0"/>
      <w:divBdr>
        <w:top w:val="none" w:sz="0" w:space="0" w:color="auto"/>
        <w:left w:val="none" w:sz="0" w:space="0" w:color="auto"/>
        <w:bottom w:val="none" w:sz="0" w:space="0" w:color="auto"/>
        <w:right w:val="none" w:sz="0" w:space="0" w:color="auto"/>
      </w:divBdr>
    </w:div>
    <w:div w:id="548498290">
      <w:bodyDiv w:val="1"/>
      <w:marLeft w:val="0"/>
      <w:marRight w:val="0"/>
      <w:marTop w:val="0"/>
      <w:marBottom w:val="0"/>
      <w:divBdr>
        <w:top w:val="none" w:sz="0" w:space="0" w:color="auto"/>
        <w:left w:val="none" w:sz="0" w:space="0" w:color="auto"/>
        <w:bottom w:val="none" w:sz="0" w:space="0" w:color="auto"/>
        <w:right w:val="none" w:sz="0" w:space="0" w:color="auto"/>
      </w:divBdr>
    </w:div>
    <w:div w:id="571043237">
      <w:bodyDiv w:val="1"/>
      <w:marLeft w:val="0"/>
      <w:marRight w:val="0"/>
      <w:marTop w:val="0"/>
      <w:marBottom w:val="0"/>
      <w:divBdr>
        <w:top w:val="none" w:sz="0" w:space="0" w:color="auto"/>
        <w:left w:val="none" w:sz="0" w:space="0" w:color="auto"/>
        <w:bottom w:val="none" w:sz="0" w:space="0" w:color="auto"/>
        <w:right w:val="none" w:sz="0" w:space="0" w:color="auto"/>
      </w:divBdr>
    </w:div>
    <w:div w:id="572740528">
      <w:bodyDiv w:val="1"/>
      <w:marLeft w:val="0"/>
      <w:marRight w:val="0"/>
      <w:marTop w:val="0"/>
      <w:marBottom w:val="0"/>
      <w:divBdr>
        <w:top w:val="none" w:sz="0" w:space="0" w:color="auto"/>
        <w:left w:val="none" w:sz="0" w:space="0" w:color="auto"/>
        <w:bottom w:val="none" w:sz="0" w:space="0" w:color="auto"/>
        <w:right w:val="none" w:sz="0" w:space="0" w:color="auto"/>
      </w:divBdr>
    </w:div>
    <w:div w:id="602762797">
      <w:bodyDiv w:val="1"/>
      <w:marLeft w:val="0"/>
      <w:marRight w:val="0"/>
      <w:marTop w:val="0"/>
      <w:marBottom w:val="0"/>
      <w:divBdr>
        <w:top w:val="none" w:sz="0" w:space="0" w:color="auto"/>
        <w:left w:val="none" w:sz="0" w:space="0" w:color="auto"/>
        <w:bottom w:val="none" w:sz="0" w:space="0" w:color="auto"/>
        <w:right w:val="none" w:sz="0" w:space="0" w:color="auto"/>
      </w:divBdr>
      <w:divsChild>
        <w:div w:id="951321843">
          <w:marLeft w:val="1800"/>
          <w:marRight w:val="0"/>
          <w:marTop w:val="67"/>
          <w:marBottom w:val="0"/>
          <w:divBdr>
            <w:top w:val="none" w:sz="0" w:space="0" w:color="auto"/>
            <w:left w:val="none" w:sz="0" w:space="0" w:color="auto"/>
            <w:bottom w:val="none" w:sz="0" w:space="0" w:color="auto"/>
            <w:right w:val="none" w:sz="0" w:space="0" w:color="auto"/>
          </w:divBdr>
        </w:div>
        <w:div w:id="1131362366">
          <w:marLeft w:val="1166"/>
          <w:marRight w:val="0"/>
          <w:marTop w:val="77"/>
          <w:marBottom w:val="0"/>
          <w:divBdr>
            <w:top w:val="none" w:sz="0" w:space="0" w:color="auto"/>
            <w:left w:val="none" w:sz="0" w:space="0" w:color="auto"/>
            <w:bottom w:val="none" w:sz="0" w:space="0" w:color="auto"/>
            <w:right w:val="none" w:sz="0" w:space="0" w:color="auto"/>
          </w:divBdr>
        </w:div>
        <w:div w:id="1182208763">
          <w:marLeft w:val="1800"/>
          <w:marRight w:val="0"/>
          <w:marTop w:val="67"/>
          <w:marBottom w:val="0"/>
          <w:divBdr>
            <w:top w:val="none" w:sz="0" w:space="0" w:color="auto"/>
            <w:left w:val="none" w:sz="0" w:space="0" w:color="auto"/>
            <w:bottom w:val="none" w:sz="0" w:space="0" w:color="auto"/>
            <w:right w:val="none" w:sz="0" w:space="0" w:color="auto"/>
          </w:divBdr>
        </w:div>
        <w:div w:id="1754814748">
          <w:marLeft w:val="1166"/>
          <w:marRight w:val="0"/>
          <w:marTop w:val="77"/>
          <w:marBottom w:val="0"/>
          <w:divBdr>
            <w:top w:val="none" w:sz="0" w:space="0" w:color="auto"/>
            <w:left w:val="none" w:sz="0" w:space="0" w:color="auto"/>
            <w:bottom w:val="none" w:sz="0" w:space="0" w:color="auto"/>
            <w:right w:val="none" w:sz="0" w:space="0" w:color="auto"/>
          </w:divBdr>
        </w:div>
      </w:divsChild>
    </w:div>
    <w:div w:id="638264312">
      <w:bodyDiv w:val="1"/>
      <w:marLeft w:val="0"/>
      <w:marRight w:val="0"/>
      <w:marTop w:val="0"/>
      <w:marBottom w:val="0"/>
      <w:divBdr>
        <w:top w:val="none" w:sz="0" w:space="0" w:color="auto"/>
        <w:left w:val="none" w:sz="0" w:space="0" w:color="auto"/>
        <w:bottom w:val="none" w:sz="0" w:space="0" w:color="auto"/>
        <w:right w:val="none" w:sz="0" w:space="0" w:color="auto"/>
      </w:divBdr>
    </w:div>
    <w:div w:id="649671227">
      <w:bodyDiv w:val="1"/>
      <w:marLeft w:val="0"/>
      <w:marRight w:val="0"/>
      <w:marTop w:val="0"/>
      <w:marBottom w:val="0"/>
      <w:divBdr>
        <w:top w:val="none" w:sz="0" w:space="0" w:color="auto"/>
        <w:left w:val="none" w:sz="0" w:space="0" w:color="auto"/>
        <w:bottom w:val="none" w:sz="0" w:space="0" w:color="auto"/>
        <w:right w:val="none" w:sz="0" w:space="0" w:color="auto"/>
      </w:divBdr>
      <w:divsChild>
        <w:div w:id="909577278">
          <w:marLeft w:val="1670"/>
          <w:marRight w:val="0"/>
          <w:marTop w:val="86"/>
          <w:marBottom w:val="0"/>
          <w:divBdr>
            <w:top w:val="none" w:sz="0" w:space="0" w:color="auto"/>
            <w:left w:val="none" w:sz="0" w:space="0" w:color="auto"/>
            <w:bottom w:val="none" w:sz="0" w:space="0" w:color="auto"/>
            <w:right w:val="none" w:sz="0" w:space="0" w:color="auto"/>
          </w:divBdr>
        </w:div>
      </w:divsChild>
    </w:div>
    <w:div w:id="669913656">
      <w:bodyDiv w:val="1"/>
      <w:marLeft w:val="0"/>
      <w:marRight w:val="0"/>
      <w:marTop w:val="0"/>
      <w:marBottom w:val="0"/>
      <w:divBdr>
        <w:top w:val="none" w:sz="0" w:space="0" w:color="auto"/>
        <w:left w:val="none" w:sz="0" w:space="0" w:color="auto"/>
        <w:bottom w:val="none" w:sz="0" w:space="0" w:color="auto"/>
        <w:right w:val="none" w:sz="0" w:space="0" w:color="auto"/>
      </w:divBdr>
    </w:div>
    <w:div w:id="695471616">
      <w:bodyDiv w:val="1"/>
      <w:marLeft w:val="0"/>
      <w:marRight w:val="0"/>
      <w:marTop w:val="0"/>
      <w:marBottom w:val="0"/>
      <w:divBdr>
        <w:top w:val="none" w:sz="0" w:space="0" w:color="auto"/>
        <w:left w:val="none" w:sz="0" w:space="0" w:color="auto"/>
        <w:bottom w:val="none" w:sz="0" w:space="0" w:color="auto"/>
        <w:right w:val="none" w:sz="0" w:space="0" w:color="auto"/>
      </w:divBdr>
    </w:div>
    <w:div w:id="696547580">
      <w:bodyDiv w:val="1"/>
      <w:marLeft w:val="0"/>
      <w:marRight w:val="0"/>
      <w:marTop w:val="0"/>
      <w:marBottom w:val="0"/>
      <w:divBdr>
        <w:top w:val="none" w:sz="0" w:space="0" w:color="auto"/>
        <w:left w:val="none" w:sz="0" w:space="0" w:color="auto"/>
        <w:bottom w:val="none" w:sz="0" w:space="0" w:color="auto"/>
        <w:right w:val="none" w:sz="0" w:space="0" w:color="auto"/>
      </w:divBdr>
    </w:div>
    <w:div w:id="752514248">
      <w:bodyDiv w:val="1"/>
      <w:marLeft w:val="0"/>
      <w:marRight w:val="0"/>
      <w:marTop w:val="0"/>
      <w:marBottom w:val="0"/>
      <w:divBdr>
        <w:top w:val="none" w:sz="0" w:space="0" w:color="auto"/>
        <w:left w:val="none" w:sz="0" w:space="0" w:color="auto"/>
        <w:bottom w:val="none" w:sz="0" w:space="0" w:color="auto"/>
        <w:right w:val="none" w:sz="0" w:space="0" w:color="auto"/>
      </w:divBdr>
    </w:div>
    <w:div w:id="765689807">
      <w:bodyDiv w:val="1"/>
      <w:marLeft w:val="0"/>
      <w:marRight w:val="0"/>
      <w:marTop w:val="0"/>
      <w:marBottom w:val="0"/>
      <w:divBdr>
        <w:top w:val="none" w:sz="0" w:space="0" w:color="auto"/>
        <w:left w:val="none" w:sz="0" w:space="0" w:color="auto"/>
        <w:bottom w:val="none" w:sz="0" w:space="0" w:color="auto"/>
        <w:right w:val="none" w:sz="0" w:space="0" w:color="auto"/>
      </w:divBdr>
      <w:divsChild>
        <w:div w:id="31730302">
          <w:marLeft w:val="1166"/>
          <w:marRight w:val="0"/>
          <w:marTop w:val="67"/>
          <w:marBottom w:val="0"/>
          <w:divBdr>
            <w:top w:val="none" w:sz="0" w:space="0" w:color="auto"/>
            <w:left w:val="none" w:sz="0" w:space="0" w:color="auto"/>
            <w:bottom w:val="none" w:sz="0" w:space="0" w:color="auto"/>
            <w:right w:val="none" w:sz="0" w:space="0" w:color="auto"/>
          </w:divBdr>
        </w:div>
        <w:div w:id="149292410">
          <w:marLeft w:val="1800"/>
          <w:marRight w:val="0"/>
          <w:marTop w:val="58"/>
          <w:marBottom w:val="0"/>
          <w:divBdr>
            <w:top w:val="none" w:sz="0" w:space="0" w:color="auto"/>
            <w:left w:val="none" w:sz="0" w:space="0" w:color="auto"/>
            <w:bottom w:val="none" w:sz="0" w:space="0" w:color="auto"/>
            <w:right w:val="none" w:sz="0" w:space="0" w:color="auto"/>
          </w:divBdr>
        </w:div>
        <w:div w:id="189880850">
          <w:marLeft w:val="1166"/>
          <w:marRight w:val="0"/>
          <w:marTop w:val="67"/>
          <w:marBottom w:val="0"/>
          <w:divBdr>
            <w:top w:val="none" w:sz="0" w:space="0" w:color="auto"/>
            <w:left w:val="none" w:sz="0" w:space="0" w:color="auto"/>
            <w:bottom w:val="none" w:sz="0" w:space="0" w:color="auto"/>
            <w:right w:val="none" w:sz="0" w:space="0" w:color="auto"/>
          </w:divBdr>
        </w:div>
        <w:div w:id="404839481">
          <w:marLeft w:val="1800"/>
          <w:marRight w:val="0"/>
          <w:marTop w:val="58"/>
          <w:marBottom w:val="0"/>
          <w:divBdr>
            <w:top w:val="none" w:sz="0" w:space="0" w:color="auto"/>
            <w:left w:val="none" w:sz="0" w:space="0" w:color="auto"/>
            <w:bottom w:val="none" w:sz="0" w:space="0" w:color="auto"/>
            <w:right w:val="none" w:sz="0" w:space="0" w:color="auto"/>
          </w:divBdr>
        </w:div>
        <w:div w:id="606354272">
          <w:marLeft w:val="1800"/>
          <w:marRight w:val="0"/>
          <w:marTop w:val="58"/>
          <w:marBottom w:val="0"/>
          <w:divBdr>
            <w:top w:val="none" w:sz="0" w:space="0" w:color="auto"/>
            <w:left w:val="none" w:sz="0" w:space="0" w:color="auto"/>
            <w:bottom w:val="none" w:sz="0" w:space="0" w:color="auto"/>
            <w:right w:val="none" w:sz="0" w:space="0" w:color="auto"/>
          </w:divBdr>
        </w:div>
        <w:div w:id="1574969149">
          <w:marLeft w:val="1800"/>
          <w:marRight w:val="0"/>
          <w:marTop w:val="58"/>
          <w:marBottom w:val="0"/>
          <w:divBdr>
            <w:top w:val="none" w:sz="0" w:space="0" w:color="auto"/>
            <w:left w:val="none" w:sz="0" w:space="0" w:color="auto"/>
            <w:bottom w:val="none" w:sz="0" w:space="0" w:color="auto"/>
            <w:right w:val="none" w:sz="0" w:space="0" w:color="auto"/>
          </w:divBdr>
        </w:div>
        <w:div w:id="1896234246">
          <w:marLeft w:val="1166"/>
          <w:marRight w:val="0"/>
          <w:marTop w:val="67"/>
          <w:marBottom w:val="0"/>
          <w:divBdr>
            <w:top w:val="none" w:sz="0" w:space="0" w:color="auto"/>
            <w:left w:val="none" w:sz="0" w:space="0" w:color="auto"/>
            <w:bottom w:val="none" w:sz="0" w:space="0" w:color="auto"/>
            <w:right w:val="none" w:sz="0" w:space="0" w:color="auto"/>
          </w:divBdr>
        </w:div>
      </w:divsChild>
    </w:div>
    <w:div w:id="806554571">
      <w:bodyDiv w:val="1"/>
      <w:marLeft w:val="0"/>
      <w:marRight w:val="0"/>
      <w:marTop w:val="0"/>
      <w:marBottom w:val="0"/>
      <w:divBdr>
        <w:top w:val="none" w:sz="0" w:space="0" w:color="auto"/>
        <w:left w:val="none" w:sz="0" w:space="0" w:color="auto"/>
        <w:bottom w:val="none" w:sz="0" w:space="0" w:color="auto"/>
        <w:right w:val="none" w:sz="0" w:space="0" w:color="auto"/>
      </w:divBdr>
    </w:div>
    <w:div w:id="847527730">
      <w:bodyDiv w:val="1"/>
      <w:marLeft w:val="0"/>
      <w:marRight w:val="0"/>
      <w:marTop w:val="0"/>
      <w:marBottom w:val="0"/>
      <w:divBdr>
        <w:top w:val="none" w:sz="0" w:space="0" w:color="auto"/>
        <w:left w:val="none" w:sz="0" w:space="0" w:color="auto"/>
        <w:bottom w:val="none" w:sz="0" w:space="0" w:color="auto"/>
        <w:right w:val="none" w:sz="0" w:space="0" w:color="auto"/>
      </w:divBdr>
      <w:divsChild>
        <w:div w:id="153961011">
          <w:marLeft w:val="547"/>
          <w:marRight w:val="0"/>
          <w:marTop w:val="86"/>
          <w:marBottom w:val="0"/>
          <w:divBdr>
            <w:top w:val="none" w:sz="0" w:space="0" w:color="auto"/>
            <w:left w:val="none" w:sz="0" w:space="0" w:color="auto"/>
            <w:bottom w:val="none" w:sz="0" w:space="0" w:color="auto"/>
            <w:right w:val="none" w:sz="0" w:space="0" w:color="auto"/>
          </w:divBdr>
        </w:div>
      </w:divsChild>
    </w:div>
    <w:div w:id="880097326">
      <w:bodyDiv w:val="1"/>
      <w:marLeft w:val="0"/>
      <w:marRight w:val="0"/>
      <w:marTop w:val="0"/>
      <w:marBottom w:val="0"/>
      <w:divBdr>
        <w:top w:val="none" w:sz="0" w:space="0" w:color="auto"/>
        <w:left w:val="none" w:sz="0" w:space="0" w:color="auto"/>
        <w:bottom w:val="none" w:sz="0" w:space="0" w:color="auto"/>
        <w:right w:val="none" w:sz="0" w:space="0" w:color="auto"/>
      </w:divBdr>
    </w:div>
    <w:div w:id="882406377">
      <w:bodyDiv w:val="1"/>
      <w:marLeft w:val="0"/>
      <w:marRight w:val="0"/>
      <w:marTop w:val="0"/>
      <w:marBottom w:val="0"/>
      <w:divBdr>
        <w:top w:val="none" w:sz="0" w:space="0" w:color="auto"/>
        <w:left w:val="none" w:sz="0" w:space="0" w:color="auto"/>
        <w:bottom w:val="none" w:sz="0" w:space="0" w:color="auto"/>
        <w:right w:val="none" w:sz="0" w:space="0" w:color="auto"/>
      </w:divBdr>
    </w:div>
    <w:div w:id="890044601">
      <w:bodyDiv w:val="1"/>
      <w:marLeft w:val="0"/>
      <w:marRight w:val="0"/>
      <w:marTop w:val="0"/>
      <w:marBottom w:val="0"/>
      <w:divBdr>
        <w:top w:val="none" w:sz="0" w:space="0" w:color="auto"/>
        <w:left w:val="none" w:sz="0" w:space="0" w:color="auto"/>
        <w:bottom w:val="none" w:sz="0" w:space="0" w:color="auto"/>
        <w:right w:val="none" w:sz="0" w:space="0" w:color="auto"/>
      </w:divBdr>
      <w:divsChild>
        <w:div w:id="70859749">
          <w:marLeft w:val="2520"/>
          <w:marRight w:val="0"/>
          <w:marTop w:val="86"/>
          <w:marBottom w:val="0"/>
          <w:divBdr>
            <w:top w:val="none" w:sz="0" w:space="0" w:color="auto"/>
            <w:left w:val="none" w:sz="0" w:space="0" w:color="auto"/>
            <w:bottom w:val="none" w:sz="0" w:space="0" w:color="auto"/>
            <w:right w:val="none" w:sz="0" w:space="0" w:color="auto"/>
          </w:divBdr>
        </w:div>
        <w:div w:id="85466559">
          <w:marLeft w:val="2520"/>
          <w:marRight w:val="0"/>
          <w:marTop w:val="86"/>
          <w:marBottom w:val="0"/>
          <w:divBdr>
            <w:top w:val="none" w:sz="0" w:space="0" w:color="auto"/>
            <w:left w:val="none" w:sz="0" w:space="0" w:color="auto"/>
            <w:bottom w:val="none" w:sz="0" w:space="0" w:color="auto"/>
            <w:right w:val="none" w:sz="0" w:space="0" w:color="auto"/>
          </w:divBdr>
        </w:div>
        <w:div w:id="475101070">
          <w:marLeft w:val="2520"/>
          <w:marRight w:val="0"/>
          <w:marTop w:val="86"/>
          <w:marBottom w:val="0"/>
          <w:divBdr>
            <w:top w:val="none" w:sz="0" w:space="0" w:color="auto"/>
            <w:left w:val="none" w:sz="0" w:space="0" w:color="auto"/>
            <w:bottom w:val="none" w:sz="0" w:space="0" w:color="auto"/>
            <w:right w:val="none" w:sz="0" w:space="0" w:color="auto"/>
          </w:divBdr>
        </w:div>
        <w:div w:id="579876348">
          <w:marLeft w:val="1800"/>
          <w:marRight w:val="0"/>
          <w:marTop w:val="86"/>
          <w:marBottom w:val="0"/>
          <w:divBdr>
            <w:top w:val="none" w:sz="0" w:space="0" w:color="auto"/>
            <w:left w:val="none" w:sz="0" w:space="0" w:color="auto"/>
            <w:bottom w:val="none" w:sz="0" w:space="0" w:color="auto"/>
            <w:right w:val="none" w:sz="0" w:space="0" w:color="auto"/>
          </w:divBdr>
        </w:div>
        <w:div w:id="825125078">
          <w:marLeft w:val="2520"/>
          <w:marRight w:val="0"/>
          <w:marTop w:val="86"/>
          <w:marBottom w:val="0"/>
          <w:divBdr>
            <w:top w:val="none" w:sz="0" w:space="0" w:color="auto"/>
            <w:left w:val="none" w:sz="0" w:space="0" w:color="auto"/>
            <w:bottom w:val="none" w:sz="0" w:space="0" w:color="auto"/>
            <w:right w:val="none" w:sz="0" w:space="0" w:color="auto"/>
          </w:divBdr>
        </w:div>
        <w:div w:id="1154370582">
          <w:marLeft w:val="1800"/>
          <w:marRight w:val="0"/>
          <w:marTop w:val="86"/>
          <w:marBottom w:val="0"/>
          <w:divBdr>
            <w:top w:val="none" w:sz="0" w:space="0" w:color="auto"/>
            <w:left w:val="none" w:sz="0" w:space="0" w:color="auto"/>
            <w:bottom w:val="none" w:sz="0" w:space="0" w:color="auto"/>
            <w:right w:val="none" w:sz="0" w:space="0" w:color="auto"/>
          </w:divBdr>
        </w:div>
        <w:div w:id="1451898400">
          <w:marLeft w:val="1800"/>
          <w:marRight w:val="0"/>
          <w:marTop w:val="86"/>
          <w:marBottom w:val="0"/>
          <w:divBdr>
            <w:top w:val="none" w:sz="0" w:space="0" w:color="auto"/>
            <w:left w:val="none" w:sz="0" w:space="0" w:color="auto"/>
            <w:bottom w:val="none" w:sz="0" w:space="0" w:color="auto"/>
            <w:right w:val="none" w:sz="0" w:space="0" w:color="auto"/>
          </w:divBdr>
        </w:div>
        <w:div w:id="1821264191">
          <w:marLeft w:val="2520"/>
          <w:marRight w:val="0"/>
          <w:marTop w:val="86"/>
          <w:marBottom w:val="0"/>
          <w:divBdr>
            <w:top w:val="none" w:sz="0" w:space="0" w:color="auto"/>
            <w:left w:val="none" w:sz="0" w:space="0" w:color="auto"/>
            <w:bottom w:val="none" w:sz="0" w:space="0" w:color="auto"/>
            <w:right w:val="none" w:sz="0" w:space="0" w:color="auto"/>
          </w:divBdr>
        </w:div>
        <w:div w:id="1988389576">
          <w:marLeft w:val="2520"/>
          <w:marRight w:val="0"/>
          <w:marTop w:val="86"/>
          <w:marBottom w:val="0"/>
          <w:divBdr>
            <w:top w:val="none" w:sz="0" w:space="0" w:color="auto"/>
            <w:left w:val="none" w:sz="0" w:space="0" w:color="auto"/>
            <w:bottom w:val="none" w:sz="0" w:space="0" w:color="auto"/>
            <w:right w:val="none" w:sz="0" w:space="0" w:color="auto"/>
          </w:divBdr>
        </w:div>
      </w:divsChild>
    </w:div>
    <w:div w:id="966473319">
      <w:bodyDiv w:val="1"/>
      <w:marLeft w:val="0"/>
      <w:marRight w:val="0"/>
      <w:marTop w:val="0"/>
      <w:marBottom w:val="0"/>
      <w:divBdr>
        <w:top w:val="none" w:sz="0" w:space="0" w:color="auto"/>
        <w:left w:val="none" w:sz="0" w:space="0" w:color="auto"/>
        <w:bottom w:val="none" w:sz="0" w:space="0" w:color="auto"/>
        <w:right w:val="none" w:sz="0" w:space="0" w:color="auto"/>
      </w:divBdr>
    </w:div>
    <w:div w:id="1001469671">
      <w:bodyDiv w:val="1"/>
      <w:marLeft w:val="0"/>
      <w:marRight w:val="0"/>
      <w:marTop w:val="0"/>
      <w:marBottom w:val="0"/>
      <w:divBdr>
        <w:top w:val="none" w:sz="0" w:space="0" w:color="auto"/>
        <w:left w:val="none" w:sz="0" w:space="0" w:color="auto"/>
        <w:bottom w:val="none" w:sz="0" w:space="0" w:color="auto"/>
        <w:right w:val="none" w:sz="0" w:space="0" w:color="auto"/>
      </w:divBdr>
    </w:div>
    <w:div w:id="1029524534">
      <w:bodyDiv w:val="1"/>
      <w:marLeft w:val="0"/>
      <w:marRight w:val="0"/>
      <w:marTop w:val="0"/>
      <w:marBottom w:val="0"/>
      <w:divBdr>
        <w:top w:val="none" w:sz="0" w:space="0" w:color="auto"/>
        <w:left w:val="none" w:sz="0" w:space="0" w:color="auto"/>
        <w:bottom w:val="none" w:sz="0" w:space="0" w:color="auto"/>
        <w:right w:val="none" w:sz="0" w:space="0" w:color="auto"/>
      </w:divBdr>
      <w:divsChild>
        <w:div w:id="97019972">
          <w:marLeft w:val="1800"/>
          <w:marRight w:val="0"/>
          <w:marTop w:val="58"/>
          <w:marBottom w:val="0"/>
          <w:divBdr>
            <w:top w:val="none" w:sz="0" w:space="0" w:color="auto"/>
            <w:left w:val="none" w:sz="0" w:space="0" w:color="auto"/>
            <w:bottom w:val="none" w:sz="0" w:space="0" w:color="auto"/>
            <w:right w:val="none" w:sz="0" w:space="0" w:color="auto"/>
          </w:divBdr>
        </w:div>
        <w:div w:id="147676763">
          <w:marLeft w:val="1800"/>
          <w:marRight w:val="0"/>
          <w:marTop w:val="58"/>
          <w:marBottom w:val="0"/>
          <w:divBdr>
            <w:top w:val="none" w:sz="0" w:space="0" w:color="auto"/>
            <w:left w:val="none" w:sz="0" w:space="0" w:color="auto"/>
            <w:bottom w:val="none" w:sz="0" w:space="0" w:color="auto"/>
            <w:right w:val="none" w:sz="0" w:space="0" w:color="auto"/>
          </w:divBdr>
        </w:div>
        <w:div w:id="630483612">
          <w:marLeft w:val="1166"/>
          <w:marRight w:val="0"/>
          <w:marTop w:val="67"/>
          <w:marBottom w:val="0"/>
          <w:divBdr>
            <w:top w:val="none" w:sz="0" w:space="0" w:color="auto"/>
            <w:left w:val="none" w:sz="0" w:space="0" w:color="auto"/>
            <w:bottom w:val="none" w:sz="0" w:space="0" w:color="auto"/>
            <w:right w:val="none" w:sz="0" w:space="0" w:color="auto"/>
          </w:divBdr>
        </w:div>
        <w:div w:id="717095932">
          <w:marLeft w:val="1166"/>
          <w:marRight w:val="0"/>
          <w:marTop w:val="67"/>
          <w:marBottom w:val="0"/>
          <w:divBdr>
            <w:top w:val="none" w:sz="0" w:space="0" w:color="auto"/>
            <w:left w:val="none" w:sz="0" w:space="0" w:color="auto"/>
            <w:bottom w:val="none" w:sz="0" w:space="0" w:color="auto"/>
            <w:right w:val="none" w:sz="0" w:space="0" w:color="auto"/>
          </w:divBdr>
        </w:div>
        <w:div w:id="1024131911">
          <w:marLeft w:val="1166"/>
          <w:marRight w:val="0"/>
          <w:marTop w:val="67"/>
          <w:marBottom w:val="0"/>
          <w:divBdr>
            <w:top w:val="none" w:sz="0" w:space="0" w:color="auto"/>
            <w:left w:val="none" w:sz="0" w:space="0" w:color="auto"/>
            <w:bottom w:val="none" w:sz="0" w:space="0" w:color="auto"/>
            <w:right w:val="none" w:sz="0" w:space="0" w:color="auto"/>
          </w:divBdr>
        </w:div>
        <w:div w:id="1773356030">
          <w:marLeft w:val="1800"/>
          <w:marRight w:val="0"/>
          <w:marTop w:val="58"/>
          <w:marBottom w:val="0"/>
          <w:divBdr>
            <w:top w:val="none" w:sz="0" w:space="0" w:color="auto"/>
            <w:left w:val="none" w:sz="0" w:space="0" w:color="auto"/>
            <w:bottom w:val="none" w:sz="0" w:space="0" w:color="auto"/>
            <w:right w:val="none" w:sz="0" w:space="0" w:color="auto"/>
          </w:divBdr>
        </w:div>
        <w:div w:id="1982268681">
          <w:marLeft w:val="1800"/>
          <w:marRight w:val="0"/>
          <w:marTop w:val="58"/>
          <w:marBottom w:val="0"/>
          <w:divBdr>
            <w:top w:val="none" w:sz="0" w:space="0" w:color="auto"/>
            <w:left w:val="none" w:sz="0" w:space="0" w:color="auto"/>
            <w:bottom w:val="none" w:sz="0" w:space="0" w:color="auto"/>
            <w:right w:val="none" w:sz="0" w:space="0" w:color="auto"/>
          </w:divBdr>
        </w:div>
      </w:divsChild>
    </w:div>
    <w:div w:id="1035621240">
      <w:bodyDiv w:val="1"/>
      <w:marLeft w:val="0"/>
      <w:marRight w:val="0"/>
      <w:marTop w:val="0"/>
      <w:marBottom w:val="0"/>
      <w:divBdr>
        <w:top w:val="none" w:sz="0" w:space="0" w:color="auto"/>
        <w:left w:val="none" w:sz="0" w:space="0" w:color="auto"/>
        <w:bottom w:val="none" w:sz="0" w:space="0" w:color="auto"/>
        <w:right w:val="none" w:sz="0" w:space="0" w:color="auto"/>
      </w:divBdr>
    </w:div>
    <w:div w:id="1036661969">
      <w:bodyDiv w:val="1"/>
      <w:marLeft w:val="0"/>
      <w:marRight w:val="0"/>
      <w:marTop w:val="0"/>
      <w:marBottom w:val="0"/>
      <w:divBdr>
        <w:top w:val="none" w:sz="0" w:space="0" w:color="auto"/>
        <w:left w:val="none" w:sz="0" w:space="0" w:color="auto"/>
        <w:bottom w:val="none" w:sz="0" w:space="0" w:color="auto"/>
        <w:right w:val="none" w:sz="0" w:space="0" w:color="auto"/>
      </w:divBdr>
      <w:divsChild>
        <w:div w:id="4064438">
          <w:marLeft w:val="1800"/>
          <w:marRight w:val="0"/>
          <w:marTop w:val="86"/>
          <w:marBottom w:val="0"/>
          <w:divBdr>
            <w:top w:val="none" w:sz="0" w:space="0" w:color="auto"/>
            <w:left w:val="none" w:sz="0" w:space="0" w:color="auto"/>
            <w:bottom w:val="none" w:sz="0" w:space="0" w:color="auto"/>
            <w:right w:val="none" w:sz="0" w:space="0" w:color="auto"/>
          </w:divBdr>
        </w:div>
        <w:div w:id="464927935">
          <w:marLeft w:val="1800"/>
          <w:marRight w:val="0"/>
          <w:marTop w:val="86"/>
          <w:marBottom w:val="0"/>
          <w:divBdr>
            <w:top w:val="none" w:sz="0" w:space="0" w:color="auto"/>
            <w:left w:val="none" w:sz="0" w:space="0" w:color="auto"/>
            <w:bottom w:val="none" w:sz="0" w:space="0" w:color="auto"/>
            <w:right w:val="none" w:sz="0" w:space="0" w:color="auto"/>
          </w:divBdr>
        </w:div>
      </w:divsChild>
    </w:div>
    <w:div w:id="1080835615">
      <w:bodyDiv w:val="1"/>
      <w:marLeft w:val="0"/>
      <w:marRight w:val="0"/>
      <w:marTop w:val="0"/>
      <w:marBottom w:val="0"/>
      <w:divBdr>
        <w:top w:val="none" w:sz="0" w:space="0" w:color="auto"/>
        <w:left w:val="none" w:sz="0" w:space="0" w:color="auto"/>
        <w:bottom w:val="none" w:sz="0" w:space="0" w:color="auto"/>
        <w:right w:val="none" w:sz="0" w:space="0" w:color="auto"/>
      </w:divBdr>
    </w:div>
    <w:div w:id="1094134497">
      <w:bodyDiv w:val="1"/>
      <w:marLeft w:val="0"/>
      <w:marRight w:val="0"/>
      <w:marTop w:val="0"/>
      <w:marBottom w:val="0"/>
      <w:divBdr>
        <w:top w:val="none" w:sz="0" w:space="0" w:color="auto"/>
        <w:left w:val="none" w:sz="0" w:space="0" w:color="auto"/>
        <w:bottom w:val="none" w:sz="0" w:space="0" w:color="auto"/>
        <w:right w:val="none" w:sz="0" w:space="0" w:color="auto"/>
      </w:divBdr>
    </w:div>
    <w:div w:id="1126894320">
      <w:bodyDiv w:val="1"/>
      <w:marLeft w:val="0"/>
      <w:marRight w:val="0"/>
      <w:marTop w:val="0"/>
      <w:marBottom w:val="0"/>
      <w:divBdr>
        <w:top w:val="none" w:sz="0" w:space="0" w:color="auto"/>
        <w:left w:val="none" w:sz="0" w:space="0" w:color="auto"/>
        <w:bottom w:val="none" w:sz="0" w:space="0" w:color="auto"/>
        <w:right w:val="none" w:sz="0" w:space="0" w:color="auto"/>
      </w:divBdr>
    </w:div>
    <w:div w:id="1218474188">
      <w:bodyDiv w:val="1"/>
      <w:marLeft w:val="0"/>
      <w:marRight w:val="0"/>
      <w:marTop w:val="0"/>
      <w:marBottom w:val="0"/>
      <w:divBdr>
        <w:top w:val="none" w:sz="0" w:space="0" w:color="auto"/>
        <w:left w:val="none" w:sz="0" w:space="0" w:color="auto"/>
        <w:bottom w:val="none" w:sz="0" w:space="0" w:color="auto"/>
        <w:right w:val="none" w:sz="0" w:space="0" w:color="auto"/>
      </w:divBdr>
    </w:div>
    <w:div w:id="1231428346">
      <w:bodyDiv w:val="1"/>
      <w:marLeft w:val="0"/>
      <w:marRight w:val="0"/>
      <w:marTop w:val="0"/>
      <w:marBottom w:val="0"/>
      <w:divBdr>
        <w:top w:val="none" w:sz="0" w:space="0" w:color="auto"/>
        <w:left w:val="none" w:sz="0" w:space="0" w:color="auto"/>
        <w:bottom w:val="none" w:sz="0" w:space="0" w:color="auto"/>
        <w:right w:val="none" w:sz="0" w:space="0" w:color="auto"/>
      </w:divBdr>
    </w:div>
    <w:div w:id="1275792146">
      <w:bodyDiv w:val="1"/>
      <w:marLeft w:val="0"/>
      <w:marRight w:val="0"/>
      <w:marTop w:val="0"/>
      <w:marBottom w:val="0"/>
      <w:divBdr>
        <w:top w:val="none" w:sz="0" w:space="0" w:color="auto"/>
        <w:left w:val="none" w:sz="0" w:space="0" w:color="auto"/>
        <w:bottom w:val="none" w:sz="0" w:space="0" w:color="auto"/>
        <w:right w:val="none" w:sz="0" w:space="0" w:color="auto"/>
      </w:divBdr>
    </w:div>
    <w:div w:id="1281498685">
      <w:bodyDiv w:val="1"/>
      <w:marLeft w:val="0"/>
      <w:marRight w:val="0"/>
      <w:marTop w:val="0"/>
      <w:marBottom w:val="0"/>
      <w:divBdr>
        <w:top w:val="none" w:sz="0" w:space="0" w:color="auto"/>
        <w:left w:val="none" w:sz="0" w:space="0" w:color="auto"/>
        <w:bottom w:val="none" w:sz="0" w:space="0" w:color="auto"/>
        <w:right w:val="none" w:sz="0" w:space="0" w:color="auto"/>
      </w:divBdr>
    </w:div>
    <w:div w:id="1304852835">
      <w:bodyDiv w:val="1"/>
      <w:marLeft w:val="0"/>
      <w:marRight w:val="0"/>
      <w:marTop w:val="0"/>
      <w:marBottom w:val="0"/>
      <w:divBdr>
        <w:top w:val="none" w:sz="0" w:space="0" w:color="auto"/>
        <w:left w:val="none" w:sz="0" w:space="0" w:color="auto"/>
        <w:bottom w:val="none" w:sz="0" w:space="0" w:color="auto"/>
        <w:right w:val="none" w:sz="0" w:space="0" w:color="auto"/>
      </w:divBdr>
    </w:div>
    <w:div w:id="1319841585">
      <w:bodyDiv w:val="1"/>
      <w:marLeft w:val="0"/>
      <w:marRight w:val="0"/>
      <w:marTop w:val="0"/>
      <w:marBottom w:val="0"/>
      <w:divBdr>
        <w:top w:val="none" w:sz="0" w:space="0" w:color="auto"/>
        <w:left w:val="none" w:sz="0" w:space="0" w:color="auto"/>
        <w:bottom w:val="none" w:sz="0" w:space="0" w:color="auto"/>
        <w:right w:val="none" w:sz="0" w:space="0" w:color="auto"/>
      </w:divBdr>
    </w:div>
    <w:div w:id="1323197754">
      <w:bodyDiv w:val="1"/>
      <w:marLeft w:val="0"/>
      <w:marRight w:val="0"/>
      <w:marTop w:val="0"/>
      <w:marBottom w:val="0"/>
      <w:divBdr>
        <w:top w:val="none" w:sz="0" w:space="0" w:color="auto"/>
        <w:left w:val="none" w:sz="0" w:space="0" w:color="auto"/>
        <w:bottom w:val="none" w:sz="0" w:space="0" w:color="auto"/>
        <w:right w:val="none" w:sz="0" w:space="0" w:color="auto"/>
      </w:divBdr>
    </w:div>
    <w:div w:id="1329015145">
      <w:bodyDiv w:val="1"/>
      <w:marLeft w:val="0"/>
      <w:marRight w:val="0"/>
      <w:marTop w:val="0"/>
      <w:marBottom w:val="0"/>
      <w:divBdr>
        <w:top w:val="none" w:sz="0" w:space="0" w:color="auto"/>
        <w:left w:val="none" w:sz="0" w:space="0" w:color="auto"/>
        <w:bottom w:val="none" w:sz="0" w:space="0" w:color="auto"/>
        <w:right w:val="none" w:sz="0" w:space="0" w:color="auto"/>
      </w:divBdr>
      <w:divsChild>
        <w:div w:id="478419789">
          <w:marLeft w:val="1166"/>
          <w:marRight w:val="0"/>
          <w:marTop w:val="67"/>
          <w:marBottom w:val="0"/>
          <w:divBdr>
            <w:top w:val="none" w:sz="0" w:space="0" w:color="auto"/>
            <w:left w:val="none" w:sz="0" w:space="0" w:color="auto"/>
            <w:bottom w:val="none" w:sz="0" w:space="0" w:color="auto"/>
            <w:right w:val="none" w:sz="0" w:space="0" w:color="auto"/>
          </w:divBdr>
        </w:div>
        <w:div w:id="980967005">
          <w:marLeft w:val="1800"/>
          <w:marRight w:val="0"/>
          <w:marTop w:val="58"/>
          <w:marBottom w:val="0"/>
          <w:divBdr>
            <w:top w:val="none" w:sz="0" w:space="0" w:color="auto"/>
            <w:left w:val="none" w:sz="0" w:space="0" w:color="auto"/>
            <w:bottom w:val="none" w:sz="0" w:space="0" w:color="auto"/>
            <w:right w:val="none" w:sz="0" w:space="0" w:color="auto"/>
          </w:divBdr>
        </w:div>
        <w:div w:id="1148130951">
          <w:marLeft w:val="1166"/>
          <w:marRight w:val="0"/>
          <w:marTop w:val="67"/>
          <w:marBottom w:val="0"/>
          <w:divBdr>
            <w:top w:val="none" w:sz="0" w:space="0" w:color="auto"/>
            <w:left w:val="none" w:sz="0" w:space="0" w:color="auto"/>
            <w:bottom w:val="none" w:sz="0" w:space="0" w:color="auto"/>
            <w:right w:val="none" w:sz="0" w:space="0" w:color="auto"/>
          </w:divBdr>
        </w:div>
        <w:div w:id="1401101281">
          <w:marLeft w:val="1800"/>
          <w:marRight w:val="0"/>
          <w:marTop w:val="58"/>
          <w:marBottom w:val="0"/>
          <w:divBdr>
            <w:top w:val="none" w:sz="0" w:space="0" w:color="auto"/>
            <w:left w:val="none" w:sz="0" w:space="0" w:color="auto"/>
            <w:bottom w:val="none" w:sz="0" w:space="0" w:color="auto"/>
            <w:right w:val="none" w:sz="0" w:space="0" w:color="auto"/>
          </w:divBdr>
        </w:div>
        <w:div w:id="1829320479">
          <w:marLeft w:val="1800"/>
          <w:marRight w:val="0"/>
          <w:marTop w:val="58"/>
          <w:marBottom w:val="0"/>
          <w:divBdr>
            <w:top w:val="none" w:sz="0" w:space="0" w:color="auto"/>
            <w:left w:val="none" w:sz="0" w:space="0" w:color="auto"/>
            <w:bottom w:val="none" w:sz="0" w:space="0" w:color="auto"/>
            <w:right w:val="none" w:sz="0" w:space="0" w:color="auto"/>
          </w:divBdr>
        </w:div>
        <w:div w:id="1884251082">
          <w:marLeft w:val="1800"/>
          <w:marRight w:val="0"/>
          <w:marTop w:val="58"/>
          <w:marBottom w:val="0"/>
          <w:divBdr>
            <w:top w:val="none" w:sz="0" w:space="0" w:color="auto"/>
            <w:left w:val="none" w:sz="0" w:space="0" w:color="auto"/>
            <w:bottom w:val="none" w:sz="0" w:space="0" w:color="auto"/>
            <w:right w:val="none" w:sz="0" w:space="0" w:color="auto"/>
          </w:divBdr>
        </w:div>
        <w:div w:id="1970818512">
          <w:marLeft w:val="1166"/>
          <w:marRight w:val="0"/>
          <w:marTop w:val="67"/>
          <w:marBottom w:val="0"/>
          <w:divBdr>
            <w:top w:val="none" w:sz="0" w:space="0" w:color="auto"/>
            <w:left w:val="none" w:sz="0" w:space="0" w:color="auto"/>
            <w:bottom w:val="none" w:sz="0" w:space="0" w:color="auto"/>
            <w:right w:val="none" w:sz="0" w:space="0" w:color="auto"/>
          </w:divBdr>
        </w:div>
      </w:divsChild>
    </w:div>
    <w:div w:id="1355615479">
      <w:bodyDiv w:val="1"/>
      <w:marLeft w:val="0"/>
      <w:marRight w:val="0"/>
      <w:marTop w:val="0"/>
      <w:marBottom w:val="0"/>
      <w:divBdr>
        <w:top w:val="none" w:sz="0" w:space="0" w:color="auto"/>
        <w:left w:val="none" w:sz="0" w:space="0" w:color="auto"/>
        <w:bottom w:val="none" w:sz="0" w:space="0" w:color="auto"/>
        <w:right w:val="none" w:sz="0" w:space="0" w:color="auto"/>
      </w:divBdr>
    </w:div>
    <w:div w:id="1406076273">
      <w:bodyDiv w:val="1"/>
      <w:marLeft w:val="0"/>
      <w:marRight w:val="0"/>
      <w:marTop w:val="0"/>
      <w:marBottom w:val="0"/>
      <w:divBdr>
        <w:top w:val="none" w:sz="0" w:space="0" w:color="auto"/>
        <w:left w:val="none" w:sz="0" w:space="0" w:color="auto"/>
        <w:bottom w:val="none" w:sz="0" w:space="0" w:color="auto"/>
        <w:right w:val="none" w:sz="0" w:space="0" w:color="auto"/>
      </w:divBdr>
    </w:div>
    <w:div w:id="1454053263">
      <w:bodyDiv w:val="1"/>
      <w:marLeft w:val="0"/>
      <w:marRight w:val="0"/>
      <w:marTop w:val="0"/>
      <w:marBottom w:val="0"/>
      <w:divBdr>
        <w:top w:val="none" w:sz="0" w:space="0" w:color="auto"/>
        <w:left w:val="none" w:sz="0" w:space="0" w:color="auto"/>
        <w:bottom w:val="none" w:sz="0" w:space="0" w:color="auto"/>
        <w:right w:val="none" w:sz="0" w:space="0" w:color="auto"/>
      </w:divBdr>
      <w:divsChild>
        <w:div w:id="302350099">
          <w:marLeft w:val="547"/>
          <w:marRight w:val="0"/>
          <w:marTop w:val="86"/>
          <w:marBottom w:val="0"/>
          <w:divBdr>
            <w:top w:val="none" w:sz="0" w:space="0" w:color="auto"/>
            <w:left w:val="none" w:sz="0" w:space="0" w:color="auto"/>
            <w:bottom w:val="none" w:sz="0" w:space="0" w:color="auto"/>
            <w:right w:val="none" w:sz="0" w:space="0" w:color="auto"/>
          </w:divBdr>
        </w:div>
        <w:div w:id="520319308">
          <w:marLeft w:val="547"/>
          <w:marRight w:val="0"/>
          <w:marTop w:val="86"/>
          <w:marBottom w:val="0"/>
          <w:divBdr>
            <w:top w:val="none" w:sz="0" w:space="0" w:color="auto"/>
            <w:left w:val="none" w:sz="0" w:space="0" w:color="auto"/>
            <w:bottom w:val="none" w:sz="0" w:space="0" w:color="auto"/>
            <w:right w:val="none" w:sz="0" w:space="0" w:color="auto"/>
          </w:divBdr>
        </w:div>
        <w:div w:id="956792382">
          <w:marLeft w:val="547"/>
          <w:marRight w:val="0"/>
          <w:marTop w:val="86"/>
          <w:marBottom w:val="0"/>
          <w:divBdr>
            <w:top w:val="none" w:sz="0" w:space="0" w:color="auto"/>
            <w:left w:val="none" w:sz="0" w:space="0" w:color="auto"/>
            <w:bottom w:val="none" w:sz="0" w:space="0" w:color="auto"/>
            <w:right w:val="none" w:sz="0" w:space="0" w:color="auto"/>
          </w:divBdr>
        </w:div>
        <w:div w:id="967473653">
          <w:marLeft w:val="547"/>
          <w:marRight w:val="0"/>
          <w:marTop w:val="86"/>
          <w:marBottom w:val="0"/>
          <w:divBdr>
            <w:top w:val="none" w:sz="0" w:space="0" w:color="auto"/>
            <w:left w:val="none" w:sz="0" w:space="0" w:color="auto"/>
            <w:bottom w:val="none" w:sz="0" w:space="0" w:color="auto"/>
            <w:right w:val="none" w:sz="0" w:space="0" w:color="auto"/>
          </w:divBdr>
        </w:div>
      </w:divsChild>
    </w:div>
    <w:div w:id="1463814447">
      <w:bodyDiv w:val="1"/>
      <w:marLeft w:val="0"/>
      <w:marRight w:val="0"/>
      <w:marTop w:val="0"/>
      <w:marBottom w:val="0"/>
      <w:divBdr>
        <w:top w:val="none" w:sz="0" w:space="0" w:color="auto"/>
        <w:left w:val="none" w:sz="0" w:space="0" w:color="auto"/>
        <w:bottom w:val="none" w:sz="0" w:space="0" w:color="auto"/>
        <w:right w:val="none" w:sz="0" w:space="0" w:color="auto"/>
      </w:divBdr>
      <w:divsChild>
        <w:div w:id="225650132">
          <w:marLeft w:val="547"/>
          <w:marRight w:val="0"/>
          <w:marTop w:val="86"/>
          <w:marBottom w:val="0"/>
          <w:divBdr>
            <w:top w:val="none" w:sz="0" w:space="0" w:color="auto"/>
            <w:left w:val="none" w:sz="0" w:space="0" w:color="auto"/>
            <w:bottom w:val="none" w:sz="0" w:space="0" w:color="auto"/>
            <w:right w:val="none" w:sz="0" w:space="0" w:color="auto"/>
          </w:divBdr>
        </w:div>
        <w:div w:id="868956474">
          <w:marLeft w:val="547"/>
          <w:marRight w:val="0"/>
          <w:marTop w:val="86"/>
          <w:marBottom w:val="0"/>
          <w:divBdr>
            <w:top w:val="none" w:sz="0" w:space="0" w:color="auto"/>
            <w:left w:val="none" w:sz="0" w:space="0" w:color="auto"/>
            <w:bottom w:val="none" w:sz="0" w:space="0" w:color="auto"/>
            <w:right w:val="none" w:sz="0" w:space="0" w:color="auto"/>
          </w:divBdr>
        </w:div>
        <w:div w:id="1070736559">
          <w:marLeft w:val="547"/>
          <w:marRight w:val="0"/>
          <w:marTop w:val="86"/>
          <w:marBottom w:val="0"/>
          <w:divBdr>
            <w:top w:val="none" w:sz="0" w:space="0" w:color="auto"/>
            <w:left w:val="none" w:sz="0" w:space="0" w:color="auto"/>
            <w:bottom w:val="none" w:sz="0" w:space="0" w:color="auto"/>
            <w:right w:val="none" w:sz="0" w:space="0" w:color="auto"/>
          </w:divBdr>
        </w:div>
        <w:div w:id="1967082615">
          <w:marLeft w:val="547"/>
          <w:marRight w:val="0"/>
          <w:marTop w:val="86"/>
          <w:marBottom w:val="0"/>
          <w:divBdr>
            <w:top w:val="none" w:sz="0" w:space="0" w:color="auto"/>
            <w:left w:val="none" w:sz="0" w:space="0" w:color="auto"/>
            <w:bottom w:val="none" w:sz="0" w:space="0" w:color="auto"/>
            <w:right w:val="none" w:sz="0" w:space="0" w:color="auto"/>
          </w:divBdr>
        </w:div>
      </w:divsChild>
    </w:div>
    <w:div w:id="1477717790">
      <w:bodyDiv w:val="1"/>
      <w:marLeft w:val="0"/>
      <w:marRight w:val="0"/>
      <w:marTop w:val="0"/>
      <w:marBottom w:val="0"/>
      <w:divBdr>
        <w:top w:val="none" w:sz="0" w:space="0" w:color="auto"/>
        <w:left w:val="none" w:sz="0" w:space="0" w:color="auto"/>
        <w:bottom w:val="none" w:sz="0" w:space="0" w:color="auto"/>
        <w:right w:val="none" w:sz="0" w:space="0" w:color="auto"/>
      </w:divBdr>
    </w:div>
    <w:div w:id="1519469685">
      <w:bodyDiv w:val="1"/>
      <w:marLeft w:val="0"/>
      <w:marRight w:val="0"/>
      <w:marTop w:val="0"/>
      <w:marBottom w:val="0"/>
      <w:divBdr>
        <w:top w:val="none" w:sz="0" w:space="0" w:color="auto"/>
        <w:left w:val="none" w:sz="0" w:space="0" w:color="auto"/>
        <w:bottom w:val="none" w:sz="0" w:space="0" w:color="auto"/>
        <w:right w:val="none" w:sz="0" w:space="0" w:color="auto"/>
      </w:divBdr>
      <w:divsChild>
        <w:div w:id="137386153">
          <w:marLeft w:val="1166"/>
          <w:marRight w:val="0"/>
          <w:marTop w:val="77"/>
          <w:marBottom w:val="0"/>
          <w:divBdr>
            <w:top w:val="none" w:sz="0" w:space="0" w:color="auto"/>
            <w:left w:val="none" w:sz="0" w:space="0" w:color="auto"/>
            <w:bottom w:val="none" w:sz="0" w:space="0" w:color="auto"/>
            <w:right w:val="none" w:sz="0" w:space="0" w:color="auto"/>
          </w:divBdr>
        </w:div>
        <w:div w:id="783302401">
          <w:marLeft w:val="1166"/>
          <w:marRight w:val="0"/>
          <w:marTop w:val="77"/>
          <w:marBottom w:val="0"/>
          <w:divBdr>
            <w:top w:val="none" w:sz="0" w:space="0" w:color="auto"/>
            <w:left w:val="none" w:sz="0" w:space="0" w:color="auto"/>
            <w:bottom w:val="none" w:sz="0" w:space="0" w:color="auto"/>
            <w:right w:val="none" w:sz="0" w:space="0" w:color="auto"/>
          </w:divBdr>
        </w:div>
        <w:div w:id="856113205">
          <w:marLeft w:val="1166"/>
          <w:marRight w:val="0"/>
          <w:marTop w:val="77"/>
          <w:marBottom w:val="0"/>
          <w:divBdr>
            <w:top w:val="none" w:sz="0" w:space="0" w:color="auto"/>
            <w:left w:val="none" w:sz="0" w:space="0" w:color="auto"/>
            <w:bottom w:val="none" w:sz="0" w:space="0" w:color="auto"/>
            <w:right w:val="none" w:sz="0" w:space="0" w:color="auto"/>
          </w:divBdr>
        </w:div>
        <w:div w:id="1126049575">
          <w:marLeft w:val="547"/>
          <w:marRight w:val="0"/>
          <w:marTop w:val="86"/>
          <w:marBottom w:val="0"/>
          <w:divBdr>
            <w:top w:val="none" w:sz="0" w:space="0" w:color="auto"/>
            <w:left w:val="none" w:sz="0" w:space="0" w:color="auto"/>
            <w:bottom w:val="none" w:sz="0" w:space="0" w:color="auto"/>
            <w:right w:val="none" w:sz="0" w:space="0" w:color="auto"/>
          </w:divBdr>
        </w:div>
        <w:div w:id="1304236435">
          <w:marLeft w:val="547"/>
          <w:marRight w:val="0"/>
          <w:marTop w:val="86"/>
          <w:marBottom w:val="0"/>
          <w:divBdr>
            <w:top w:val="none" w:sz="0" w:space="0" w:color="auto"/>
            <w:left w:val="none" w:sz="0" w:space="0" w:color="auto"/>
            <w:bottom w:val="none" w:sz="0" w:space="0" w:color="auto"/>
            <w:right w:val="none" w:sz="0" w:space="0" w:color="auto"/>
          </w:divBdr>
        </w:div>
        <w:div w:id="2007127648">
          <w:marLeft w:val="1166"/>
          <w:marRight w:val="0"/>
          <w:marTop w:val="77"/>
          <w:marBottom w:val="0"/>
          <w:divBdr>
            <w:top w:val="none" w:sz="0" w:space="0" w:color="auto"/>
            <w:left w:val="none" w:sz="0" w:space="0" w:color="auto"/>
            <w:bottom w:val="none" w:sz="0" w:space="0" w:color="auto"/>
            <w:right w:val="none" w:sz="0" w:space="0" w:color="auto"/>
          </w:divBdr>
        </w:div>
        <w:div w:id="2023773833">
          <w:marLeft w:val="1166"/>
          <w:marRight w:val="0"/>
          <w:marTop w:val="77"/>
          <w:marBottom w:val="0"/>
          <w:divBdr>
            <w:top w:val="none" w:sz="0" w:space="0" w:color="auto"/>
            <w:left w:val="none" w:sz="0" w:space="0" w:color="auto"/>
            <w:bottom w:val="none" w:sz="0" w:space="0" w:color="auto"/>
            <w:right w:val="none" w:sz="0" w:space="0" w:color="auto"/>
          </w:divBdr>
        </w:div>
      </w:divsChild>
    </w:div>
    <w:div w:id="1524784879">
      <w:bodyDiv w:val="1"/>
      <w:marLeft w:val="0"/>
      <w:marRight w:val="0"/>
      <w:marTop w:val="0"/>
      <w:marBottom w:val="0"/>
      <w:divBdr>
        <w:top w:val="none" w:sz="0" w:space="0" w:color="auto"/>
        <w:left w:val="none" w:sz="0" w:space="0" w:color="auto"/>
        <w:bottom w:val="none" w:sz="0" w:space="0" w:color="auto"/>
        <w:right w:val="none" w:sz="0" w:space="0" w:color="auto"/>
      </w:divBdr>
    </w:div>
    <w:div w:id="1555700828">
      <w:bodyDiv w:val="1"/>
      <w:marLeft w:val="0"/>
      <w:marRight w:val="0"/>
      <w:marTop w:val="0"/>
      <w:marBottom w:val="0"/>
      <w:divBdr>
        <w:top w:val="none" w:sz="0" w:space="0" w:color="auto"/>
        <w:left w:val="none" w:sz="0" w:space="0" w:color="auto"/>
        <w:bottom w:val="none" w:sz="0" w:space="0" w:color="auto"/>
        <w:right w:val="none" w:sz="0" w:space="0" w:color="auto"/>
      </w:divBdr>
    </w:div>
    <w:div w:id="1561283837">
      <w:bodyDiv w:val="1"/>
      <w:marLeft w:val="0"/>
      <w:marRight w:val="0"/>
      <w:marTop w:val="0"/>
      <w:marBottom w:val="0"/>
      <w:divBdr>
        <w:top w:val="none" w:sz="0" w:space="0" w:color="auto"/>
        <w:left w:val="none" w:sz="0" w:space="0" w:color="auto"/>
        <w:bottom w:val="none" w:sz="0" w:space="0" w:color="auto"/>
        <w:right w:val="none" w:sz="0" w:space="0" w:color="auto"/>
      </w:divBdr>
    </w:div>
    <w:div w:id="1610964065">
      <w:bodyDiv w:val="1"/>
      <w:marLeft w:val="0"/>
      <w:marRight w:val="0"/>
      <w:marTop w:val="0"/>
      <w:marBottom w:val="0"/>
      <w:divBdr>
        <w:top w:val="none" w:sz="0" w:space="0" w:color="auto"/>
        <w:left w:val="none" w:sz="0" w:space="0" w:color="auto"/>
        <w:bottom w:val="none" w:sz="0" w:space="0" w:color="auto"/>
        <w:right w:val="none" w:sz="0" w:space="0" w:color="auto"/>
      </w:divBdr>
    </w:div>
    <w:div w:id="1614746540">
      <w:bodyDiv w:val="1"/>
      <w:marLeft w:val="0"/>
      <w:marRight w:val="0"/>
      <w:marTop w:val="0"/>
      <w:marBottom w:val="0"/>
      <w:divBdr>
        <w:top w:val="none" w:sz="0" w:space="0" w:color="auto"/>
        <w:left w:val="none" w:sz="0" w:space="0" w:color="auto"/>
        <w:bottom w:val="none" w:sz="0" w:space="0" w:color="auto"/>
        <w:right w:val="none" w:sz="0" w:space="0" w:color="auto"/>
      </w:divBdr>
    </w:div>
    <w:div w:id="1619219911">
      <w:bodyDiv w:val="1"/>
      <w:marLeft w:val="0"/>
      <w:marRight w:val="0"/>
      <w:marTop w:val="0"/>
      <w:marBottom w:val="0"/>
      <w:divBdr>
        <w:top w:val="none" w:sz="0" w:space="0" w:color="auto"/>
        <w:left w:val="none" w:sz="0" w:space="0" w:color="auto"/>
        <w:bottom w:val="none" w:sz="0" w:space="0" w:color="auto"/>
        <w:right w:val="none" w:sz="0" w:space="0" w:color="auto"/>
      </w:divBdr>
      <w:divsChild>
        <w:div w:id="1002852160">
          <w:marLeft w:val="1800"/>
          <w:marRight w:val="0"/>
          <w:marTop w:val="67"/>
          <w:marBottom w:val="0"/>
          <w:divBdr>
            <w:top w:val="none" w:sz="0" w:space="0" w:color="auto"/>
            <w:left w:val="none" w:sz="0" w:space="0" w:color="auto"/>
            <w:bottom w:val="none" w:sz="0" w:space="0" w:color="auto"/>
            <w:right w:val="none" w:sz="0" w:space="0" w:color="auto"/>
          </w:divBdr>
        </w:div>
        <w:div w:id="1949116894">
          <w:marLeft w:val="1166"/>
          <w:marRight w:val="0"/>
          <w:marTop w:val="77"/>
          <w:marBottom w:val="0"/>
          <w:divBdr>
            <w:top w:val="none" w:sz="0" w:space="0" w:color="auto"/>
            <w:left w:val="none" w:sz="0" w:space="0" w:color="auto"/>
            <w:bottom w:val="none" w:sz="0" w:space="0" w:color="auto"/>
            <w:right w:val="none" w:sz="0" w:space="0" w:color="auto"/>
          </w:divBdr>
        </w:div>
        <w:div w:id="2137797348">
          <w:marLeft w:val="1166"/>
          <w:marRight w:val="0"/>
          <w:marTop w:val="77"/>
          <w:marBottom w:val="0"/>
          <w:divBdr>
            <w:top w:val="none" w:sz="0" w:space="0" w:color="auto"/>
            <w:left w:val="none" w:sz="0" w:space="0" w:color="auto"/>
            <w:bottom w:val="none" w:sz="0" w:space="0" w:color="auto"/>
            <w:right w:val="none" w:sz="0" w:space="0" w:color="auto"/>
          </w:divBdr>
        </w:div>
      </w:divsChild>
    </w:div>
    <w:div w:id="1628002478">
      <w:bodyDiv w:val="1"/>
      <w:marLeft w:val="0"/>
      <w:marRight w:val="0"/>
      <w:marTop w:val="0"/>
      <w:marBottom w:val="0"/>
      <w:divBdr>
        <w:top w:val="none" w:sz="0" w:space="0" w:color="auto"/>
        <w:left w:val="none" w:sz="0" w:space="0" w:color="auto"/>
        <w:bottom w:val="none" w:sz="0" w:space="0" w:color="auto"/>
        <w:right w:val="none" w:sz="0" w:space="0" w:color="auto"/>
      </w:divBdr>
      <w:divsChild>
        <w:div w:id="180707292">
          <w:marLeft w:val="2520"/>
          <w:marRight w:val="0"/>
          <w:marTop w:val="86"/>
          <w:marBottom w:val="0"/>
          <w:divBdr>
            <w:top w:val="none" w:sz="0" w:space="0" w:color="auto"/>
            <w:left w:val="none" w:sz="0" w:space="0" w:color="auto"/>
            <w:bottom w:val="none" w:sz="0" w:space="0" w:color="auto"/>
            <w:right w:val="none" w:sz="0" w:space="0" w:color="auto"/>
          </w:divBdr>
        </w:div>
        <w:div w:id="250427929">
          <w:marLeft w:val="1800"/>
          <w:marRight w:val="0"/>
          <w:marTop w:val="86"/>
          <w:marBottom w:val="0"/>
          <w:divBdr>
            <w:top w:val="none" w:sz="0" w:space="0" w:color="auto"/>
            <w:left w:val="none" w:sz="0" w:space="0" w:color="auto"/>
            <w:bottom w:val="none" w:sz="0" w:space="0" w:color="auto"/>
            <w:right w:val="none" w:sz="0" w:space="0" w:color="auto"/>
          </w:divBdr>
        </w:div>
        <w:div w:id="1634872110">
          <w:marLeft w:val="1800"/>
          <w:marRight w:val="0"/>
          <w:marTop w:val="86"/>
          <w:marBottom w:val="0"/>
          <w:divBdr>
            <w:top w:val="none" w:sz="0" w:space="0" w:color="auto"/>
            <w:left w:val="none" w:sz="0" w:space="0" w:color="auto"/>
            <w:bottom w:val="none" w:sz="0" w:space="0" w:color="auto"/>
            <w:right w:val="none" w:sz="0" w:space="0" w:color="auto"/>
          </w:divBdr>
        </w:div>
      </w:divsChild>
    </w:div>
    <w:div w:id="1663705137">
      <w:bodyDiv w:val="1"/>
      <w:marLeft w:val="0"/>
      <w:marRight w:val="0"/>
      <w:marTop w:val="0"/>
      <w:marBottom w:val="0"/>
      <w:divBdr>
        <w:top w:val="none" w:sz="0" w:space="0" w:color="auto"/>
        <w:left w:val="none" w:sz="0" w:space="0" w:color="auto"/>
        <w:bottom w:val="none" w:sz="0" w:space="0" w:color="auto"/>
        <w:right w:val="none" w:sz="0" w:space="0" w:color="auto"/>
      </w:divBdr>
    </w:div>
    <w:div w:id="1691643646">
      <w:bodyDiv w:val="1"/>
      <w:marLeft w:val="0"/>
      <w:marRight w:val="0"/>
      <w:marTop w:val="0"/>
      <w:marBottom w:val="0"/>
      <w:divBdr>
        <w:top w:val="none" w:sz="0" w:space="0" w:color="auto"/>
        <w:left w:val="none" w:sz="0" w:space="0" w:color="auto"/>
        <w:bottom w:val="none" w:sz="0" w:space="0" w:color="auto"/>
        <w:right w:val="none" w:sz="0" w:space="0" w:color="auto"/>
      </w:divBdr>
    </w:div>
    <w:div w:id="1800488809">
      <w:bodyDiv w:val="1"/>
      <w:marLeft w:val="0"/>
      <w:marRight w:val="0"/>
      <w:marTop w:val="0"/>
      <w:marBottom w:val="0"/>
      <w:divBdr>
        <w:top w:val="none" w:sz="0" w:space="0" w:color="auto"/>
        <w:left w:val="none" w:sz="0" w:space="0" w:color="auto"/>
        <w:bottom w:val="none" w:sz="0" w:space="0" w:color="auto"/>
        <w:right w:val="none" w:sz="0" w:space="0" w:color="auto"/>
      </w:divBdr>
    </w:div>
    <w:div w:id="1814446637">
      <w:bodyDiv w:val="1"/>
      <w:marLeft w:val="0"/>
      <w:marRight w:val="0"/>
      <w:marTop w:val="0"/>
      <w:marBottom w:val="0"/>
      <w:divBdr>
        <w:top w:val="none" w:sz="0" w:space="0" w:color="auto"/>
        <w:left w:val="none" w:sz="0" w:space="0" w:color="auto"/>
        <w:bottom w:val="none" w:sz="0" w:space="0" w:color="auto"/>
        <w:right w:val="none" w:sz="0" w:space="0" w:color="auto"/>
      </w:divBdr>
    </w:div>
    <w:div w:id="1844778677">
      <w:bodyDiv w:val="1"/>
      <w:marLeft w:val="0"/>
      <w:marRight w:val="0"/>
      <w:marTop w:val="0"/>
      <w:marBottom w:val="0"/>
      <w:divBdr>
        <w:top w:val="none" w:sz="0" w:space="0" w:color="auto"/>
        <w:left w:val="none" w:sz="0" w:space="0" w:color="auto"/>
        <w:bottom w:val="none" w:sz="0" w:space="0" w:color="auto"/>
        <w:right w:val="none" w:sz="0" w:space="0" w:color="auto"/>
      </w:divBdr>
    </w:div>
    <w:div w:id="1859007782">
      <w:bodyDiv w:val="1"/>
      <w:marLeft w:val="0"/>
      <w:marRight w:val="0"/>
      <w:marTop w:val="0"/>
      <w:marBottom w:val="0"/>
      <w:divBdr>
        <w:top w:val="none" w:sz="0" w:space="0" w:color="auto"/>
        <w:left w:val="none" w:sz="0" w:space="0" w:color="auto"/>
        <w:bottom w:val="none" w:sz="0" w:space="0" w:color="auto"/>
        <w:right w:val="none" w:sz="0" w:space="0" w:color="auto"/>
      </w:divBdr>
    </w:div>
    <w:div w:id="1914124474">
      <w:bodyDiv w:val="1"/>
      <w:marLeft w:val="0"/>
      <w:marRight w:val="0"/>
      <w:marTop w:val="0"/>
      <w:marBottom w:val="0"/>
      <w:divBdr>
        <w:top w:val="none" w:sz="0" w:space="0" w:color="auto"/>
        <w:left w:val="none" w:sz="0" w:space="0" w:color="auto"/>
        <w:bottom w:val="none" w:sz="0" w:space="0" w:color="auto"/>
        <w:right w:val="none" w:sz="0" w:space="0" w:color="auto"/>
      </w:divBdr>
    </w:div>
    <w:div w:id="1930115930">
      <w:bodyDiv w:val="1"/>
      <w:marLeft w:val="0"/>
      <w:marRight w:val="0"/>
      <w:marTop w:val="0"/>
      <w:marBottom w:val="0"/>
      <w:divBdr>
        <w:top w:val="none" w:sz="0" w:space="0" w:color="auto"/>
        <w:left w:val="none" w:sz="0" w:space="0" w:color="auto"/>
        <w:bottom w:val="none" w:sz="0" w:space="0" w:color="auto"/>
        <w:right w:val="none" w:sz="0" w:space="0" w:color="auto"/>
      </w:divBdr>
    </w:div>
    <w:div w:id="1937666337">
      <w:bodyDiv w:val="1"/>
      <w:marLeft w:val="0"/>
      <w:marRight w:val="0"/>
      <w:marTop w:val="0"/>
      <w:marBottom w:val="0"/>
      <w:divBdr>
        <w:top w:val="none" w:sz="0" w:space="0" w:color="auto"/>
        <w:left w:val="none" w:sz="0" w:space="0" w:color="auto"/>
        <w:bottom w:val="none" w:sz="0" w:space="0" w:color="auto"/>
        <w:right w:val="none" w:sz="0" w:space="0" w:color="auto"/>
      </w:divBdr>
    </w:div>
    <w:div w:id="1955624654">
      <w:bodyDiv w:val="1"/>
      <w:marLeft w:val="0"/>
      <w:marRight w:val="0"/>
      <w:marTop w:val="0"/>
      <w:marBottom w:val="0"/>
      <w:divBdr>
        <w:top w:val="none" w:sz="0" w:space="0" w:color="auto"/>
        <w:left w:val="none" w:sz="0" w:space="0" w:color="auto"/>
        <w:bottom w:val="none" w:sz="0" w:space="0" w:color="auto"/>
        <w:right w:val="none" w:sz="0" w:space="0" w:color="auto"/>
      </w:divBdr>
    </w:div>
    <w:div w:id="1959213395">
      <w:bodyDiv w:val="1"/>
      <w:marLeft w:val="0"/>
      <w:marRight w:val="0"/>
      <w:marTop w:val="0"/>
      <w:marBottom w:val="0"/>
      <w:divBdr>
        <w:top w:val="none" w:sz="0" w:space="0" w:color="auto"/>
        <w:left w:val="none" w:sz="0" w:space="0" w:color="auto"/>
        <w:bottom w:val="none" w:sz="0" w:space="0" w:color="auto"/>
        <w:right w:val="none" w:sz="0" w:space="0" w:color="auto"/>
      </w:divBdr>
    </w:div>
    <w:div w:id="2013753067">
      <w:bodyDiv w:val="1"/>
      <w:marLeft w:val="0"/>
      <w:marRight w:val="0"/>
      <w:marTop w:val="0"/>
      <w:marBottom w:val="0"/>
      <w:divBdr>
        <w:top w:val="none" w:sz="0" w:space="0" w:color="auto"/>
        <w:left w:val="none" w:sz="0" w:space="0" w:color="auto"/>
        <w:bottom w:val="none" w:sz="0" w:space="0" w:color="auto"/>
        <w:right w:val="none" w:sz="0" w:space="0" w:color="auto"/>
      </w:divBdr>
    </w:div>
    <w:div w:id="2017463504">
      <w:bodyDiv w:val="1"/>
      <w:marLeft w:val="0"/>
      <w:marRight w:val="0"/>
      <w:marTop w:val="0"/>
      <w:marBottom w:val="0"/>
      <w:divBdr>
        <w:top w:val="none" w:sz="0" w:space="0" w:color="auto"/>
        <w:left w:val="none" w:sz="0" w:space="0" w:color="auto"/>
        <w:bottom w:val="none" w:sz="0" w:space="0" w:color="auto"/>
        <w:right w:val="none" w:sz="0" w:space="0" w:color="auto"/>
      </w:divBdr>
    </w:div>
    <w:div w:id="2037655609">
      <w:bodyDiv w:val="1"/>
      <w:marLeft w:val="0"/>
      <w:marRight w:val="0"/>
      <w:marTop w:val="0"/>
      <w:marBottom w:val="0"/>
      <w:divBdr>
        <w:top w:val="none" w:sz="0" w:space="0" w:color="auto"/>
        <w:left w:val="none" w:sz="0" w:space="0" w:color="auto"/>
        <w:bottom w:val="none" w:sz="0" w:space="0" w:color="auto"/>
        <w:right w:val="none" w:sz="0" w:space="0" w:color="auto"/>
      </w:divBdr>
    </w:div>
    <w:div w:id="2037928157">
      <w:bodyDiv w:val="1"/>
      <w:marLeft w:val="0"/>
      <w:marRight w:val="0"/>
      <w:marTop w:val="0"/>
      <w:marBottom w:val="0"/>
      <w:divBdr>
        <w:top w:val="none" w:sz="0" w:space="0" w:color="auto"/>
        <w:left w:val="none" w:sz="0" w:space="0" w:color="auto"/>
        <w:bottom w:val="none" w:sz="0" w:space="0" w:color="auto"/>
        <w:right w:val="none" w:sz="0" w:space="0" w:color="auto"/>
      </w:divBdr>
    </w:div>
    <w:div w:id="2112236215">
      <w:bodyDiv w:val="1"/>
      <w:marLeft w:val="0"/>
      <w:marRight w:val="0"/>
      <w:marTop w:val="0"/>
      <w:marBottom w:val="0"/>
      <w:divBdr>
        <w:top w:val="none" w:sz="0" w:space="0" w:color="auto"/>
        <w:left w:val="none" w:sz="0" w:space="0" w:color="auto"/>
        <w:bottom w:val="none" w:sz="0" w:space="0" w:color="auto"/>
        <w:right w:val="none" w:sz="0" w:space="0" w:color="auto"/>
      </w:divBdr>
    </w:div>
    <w:div w:id="2134395419">
      <w:bodyDiv w:val="1"/>
      <w:marLeft w:val="0"/>
      <w:marRight w:val="0"/>
      <w:marTop w:val="0"/>
      <w:marBottom w:val="0"/>
      <w:divBdr>
        <w:top w:val="none" w:sz="0" w:space="0" w:color="auto"/>
        <w:left w:val="none" w:sz="0" w:space="0" w:color="auto"/>
        <w:bottom w:val="none" w:sz="0" w:space="0" w:color="auto"/>
        <w:right w:val="none" w:sz="0" w:space="0" w:color="auto"/>
      </w:divBdr>
      <w:divsChild>
        <w:div w:id="1112358318">
          <w:marLeft w:val="547"/>
          <w:marRight w:val="0"/>
          <w:marTop w:val="86"/>
          <w:marBottom w:val="0"/>
          <w:divBdr>
            <w:top w:val="none" w:sz="0" w:space="0" w:color="auto"/>
            <w:left w:val="none" w:sz="0" w:space="0" w:color="auto"/>
            <w:bottom w:val="none" w:sz="0" w:space="0" w:color="auto"/>
            <w:right w:val="none" w:sz="0" w:space="0" w:color="auto"/>
          </w:divBdr>
        </w:div>
        <w:div w:id="1292713680">
          <w:marLeft w:val="547"/>
          <w:marRight w:val="0"/>
          <w:marTop w:val="86"/>
          <w:marBottom w:val="0"/>
          <w:divBdr>
            <w:top w:val="none" w:sz="0" w:space="0" w:color="auto"/>
            <w:left w:val="none" w:sz="0" w:space="0" w:color="auto"/>
            <w:bottom w:val="none" w:sz="0" w:space="0" w:color="auto"/>
            <w:right w:val="none" w:sz="0" w:space="0" w:color="auto"/>
          </w:divBdr>
        </w:div>
        <w:div w:id="1586724646">
          <w:marLeft w:val="547"/>
          <w:marRight w:val="0"/>
          <w:marTop w:val="86"/>
          <w:marBottom w:val="0"/>
          <w:divBdr>
            <w:top w:val="none" w:sz="0" w:space="0" w:color="auto"/>
            <w:left w:val="none" w:sz="0" w:space="0" w:color="auto"/>
            <w:bottom w:val="none" w:sz="0" w:space="0" w:color="auto"/>
            <w:right w:val="none" w:sz="0" w:space="0" w:color="auto"/>
          </w:divBdr>
        </w:div>
        <w:div w:id="2074770629">
          <w:marLeft w:val="547"/>
          <w:marRight w:val="0"/>
          <w:marTop w:val="86"/>
          <w:marBottom w:val="0"/>
          <w:divBdr>
            <w:top w:val="none" w:sz="0" w:space="0" w:color="auto"/>
            <w:left w:val="none" w:sz="0" w:space="0" w:color="auto"/>
            <w:bottom w:val="none" w:sz="0" w:space="0" w:color="auto"/>
            <w:right w:val="none" w:sz="0" w:space="0" w:color="auto"/>
          </w:divBdr>
        </w:div>
      </w:divsChild>
    </w:div>
    <w:div w:id="2145610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5AIRPNAIUNRU-1328258698-26047</_dlc_DocId>
    <_dlc_DocIdUrl xmlns="71c5aaf6-e6ce-465b-b873-5148d2a4c105">
      <Url>https://nokia.sharepoint.com/sites/c5g/5gradio/_layouts/15/DocIdRedir.aspx?ID=5AIRPNAIUNRU-1328258698-26047</Url>
      <Description>5AIRPNAIUNRU-1328258698-26047</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B5979521-78DC-43D7-B407-E100F7D23273}">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2.xml><?xml version="1.0" encoding="utf-8"?>
<ds:datastoreItem xmlns:ds="http://schemas.openxmlformats.org/officeDocument/2006/customXml" ds:itemID="{266A5B54-A7DC-461E-A7FD-F4873C92EFD5}">
  <ds:schemaRefs>
    <ds:schemaRef ds:uri="http://schemas.microsoft.com/sharepoint/v3/contenttype/forms"/>
  </ds:schemaRefs>
</ds:datastoreItem>
</file>

<file path=customXml/itemProps3.xml><?xml version="1.0" encoding="utf-8"?>
<ds:datastoreItem xmlns:ds="http://schemas.openxmlformats.org/officeDocument/2006/customXml" ds:itemID="{3F9E6975-3513-4A6E-9D0D-C27BF449411C}">
  <ds:schemaRefs>
    <ds:schemaRef ds:uri="http://schemas.openxmlformats.org/officeDocument/2006/bibliography"/>
  </ds:schemaRefs>
</ds:datastoreItem>
</file>

<file path=customXml/itemProps4.xml><?xml version="1.0" encoding="utf-8"?>
<ds:datastoreItem xmlns:ds="http://schemas.openxmlformats.org/officeDocument/2006/customXml" ds:itemID="{FB321C5F-4C9F-40C9-BACB-D4DD5DC102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4BE6DBB-AB09-47B2-B7D2-76D7B40C43FD}">
  <ds:schemaRefs>
    <ds:schemaRef ds:uri="http://schemas.microsoft.com/sharepoint/events"/>
  </ds:schemaRefs>
</ds:datastoreItem>
</file>

<file path=customXml/itemProps6.xml><?xml version="1.0" encoding="utf-8"?>
<ds:datastoreItem xmlns:ds="http://schemas.openxmlformats.org/officeDocument/2006/customXml" ds:itemID="{BE380875-3795-4999-90F9-CE4ECB28A6CD}">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Template>
  <TotalTime>24</TotalTime>
  <Pages>9</Pages>
  <Words>3599</Words>
  <Characters>20520</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24071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Laurent Noel</dc:creator>
  <cp:keywords/>
  <cp:lastModifiedBy>Skyworks</cp:lastModifiedBy>
  <cp:revision>5</cp:revision>
  <dcterms:created xsi:type="dcterms:W3CDTF">2024-08-08T14:09:00Z</dcterms:created>
  <dcterms:modified xsi:type="dcterms:W3CDTF">2024-08-09T11:15:00Z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(3)hST7H/jZE/szsnIJYQ+vvY2Gw9PXnqNxvf0jo5PPTdd9JYadzY3Ot936q+n3xgVi/1gVPyqN_x000d_
e6VVERxBSgp7cXHla09pMf2m/XJXmP50jTt6kWRxMhr2/VRs7zJz3uF1f8YE+oLXqPKhpKuc_x000d_
d14t+KUei5IBolqNxAHXDuDNIP/1hMVfyoBtUYaoXODJyeyoqgSjXzUg9CurkawhRxgRL6Nv_x000d_
0AWz2NKwNhl2ZOZtsl</vt:lpwstr>
  </property>
  <property fmtid="{D5CDD505-2E9C-101B-9397-08002B2CF9AE}" pid="10" name="_2015_ms_pID_725343_00">
    <vt:lpwstr>_2015_ms_pID_725343</vt:lpwstr>
  </property>
  <property fmtid="{D5CDD505-2E9C-101B-9397-08002B2CF9AE}" pid="11" name="_2015_ms_pID_7253431">
    <vt:lpwstr>b8+cFcG7kYVtPkZR+0aHCiphlQ/dthDTxLWuFX+Xicp084QPlBYP61_x000d_
jU+7pnY0i/BFIHU1ZGSgdOKzNEngZiIRFYw+cBUWpxoQsSYqDx8DqKTgu6LViB+HW5NKxQhS_x000d_
tzvPMd+deXJIopF/qotMgZ6RJDow5od4l2djfbEjLARZv7IN3PAsVS40MA6mUF6j5P6vehTj_x000d_
Tv0F2TrraMpAF/zz7qSnFzpotQU3jBSmVIwR</vt:lpwstr>
  </property>
  <property fmtid="{D5CDD505-2E9C-101B-9397-08002B2CF9AE}" pid="12" name="_2015_ms_pID_7253431_00">
    <vt:lpwstr>_2015_ms_pID_7253431</vt:lpwstr>
  </property>
  <property fmtid="{D5CDD505-2E9C-101B-9397-08002B2CF9AE}" pid="13" name="_2015_ms_pID_7253432">
    <vt:lpwstr>wWTXDCr/gUD4HGjv2bk1OsA=</vt:lpwstr>
  </property>
  <property fmtid="{D5CDD505-2E9C-101B-9397-08002B2CF9AE}" pid="14" name="ContentTypeId">
    <vt:lpwstr>0x01010000E5007003D3004E92B8EDD86D20E8CD</vt:lpwstr>
  </property>
  <property fmtid="{D5CDD505-2E9C-101B-9397-08002B2CF9AE}" pid="15" name="_dlc_DocIdItemGuid">
    <vt:lpwstr>d2d6fd91-2f9f-4fa3-b609-6103cea704e2</vt:lpwstr>
  </property>
  <property fmtid="{D5CDD505-2E9C-101B-9397-08002B2CF9AE}" pid="16" name="MediaServiceImageTags">
    <vt:lpwstr/>
  </property>
</Properties>
</file>